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85FFF" w14:textId="77777777" w:rsidR="00E644C2" w:rsidRDefault="00E644C2" w:rsidP="00E644C2">
      <w:pPr>
        <w:pStyle w:val="Heading3"/>
        <w:numPr>
          <w:ilvl w:val="0"/>
          <w:numId w:val="0"/>
        </w:numPr>
        <w:jc w:val="left"/>
        <w:rPr>
          <w:sz w:val="24"/>
          <w:szCs w:val="24"/>
        </w:rPr>
      </w:pPr>
    </w:p>
    <w:p w14:paraId="0D87683F" w14:textId="77777777" w:rsidR="00E644C2" w:rsidRDefault="00E644C2" w:rsidP="00AC16C1">
      <w:pPr>
        <w:pStyle w:val="Heading3"/>
        <w:numPr>
          <w:ilvl w:val="0"/>
          <w:numId w:val="0"/>
        </w:numPr>
        <w:ind w:left="360"/>
        <w:jc w:val="center"/>
        <w:rPr>
          <w:sz w:val="24"/>
          <w:szCs w:val="24"/>
        </w:rPr>
      </w:pPr>
      <w:r w:rsidRPr="00623857">
        <w:rPr>
          <w:noProof/>
          <w:lang w:eastAsia="lv-LV"/>
        </w:rPr>
        <w:drawing>
          <wp:inline distT="0" distB="0" distL="0" distR="0" wp14:anchorId="28E7AE04" wp14:editId="5B0BA373">
            <wp:extent cx="3950335" cy="864530"/>
            <wp:effectExtent l="0" t="0" r="0" b="0"/>
            <wp:docPr id="2" name="Picture 2" descr="LV_ID_EU_logo_ansamblis_ERAF_BW-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V_ID_EU_logo_ansamblis_ERAF_BW-2"/>
                    <pic:cNvPicPr>
                      <a:picLocks noChangeAspect="1" noChangeArrowheads="1"/>
                    </pic:cNvPicPr>
                  </pic:nvPicPr>
                  <pic:blipFill rotWithShape="1">
                    <a:blip r:embed="rId8">
                      <a:extLst>
                        <a:ext uri="{28A0092B-C50C-407E-A947-70E740481C1C}">
                          <a14:useLocalDpi xmlns:a14="http://schemas.microsoft.com/office/drawing/2010/main" val="0"/>
                        </a:ext>
                      </a:extLst>
                    </a:blip>
                    <a:srcRect t="31274"/>
                    <a:stretch/>
                  </pic:blipFill>
                  <pic:spPr bwMode="auto">
                    <a:xfrm>
                      <a:off x="0" y="0"/>
                      <a:ext cx="3950335" cy="864530"/>
                    </a:xfrm>
                    <a:prstGeom prst="rect">
                      <a:avLst/>
                    </a:prstGeom>
                    <a:noFill/>
                    <a:ln>
                      <a:noFill/>
                    </a:ln>
                    <a:extLst>
                      <a:ext uri="{53640926-AAD7-44D8-BBD7-CCE9431645EC}">
                        <a14:shadowObscured xmlns:a14="http://schemas.microsoft.com/office/drawing/2010/main"/>
                      </a:ext>
                    </a:extLst>
                  </pic:spPr>
                </pic:pic>
              </a:graphicData>
            </a:graphic>
          </wp:inline>
        </w:drawing>
      </w:r>
    </w:p>
    <w:p w14:paraId="1EB6EB9E" w14:textId="77777777" w:rsidR="00E644C2" w:rsidRDefault="00E644C2" w:rsidP="00AC16C1">
      <w:pPr>
        <w:pStyle w:val="Heading3"/>
        <w:numPr>
          <w:ilvl w:val="0"/>
          <w:numId w:val="0"/>
        </w:numPr>
        <w:ind w:left="360"/>
        <w:jc w:val="center"/>
        <w:rPr>
          <w:sz w:val="24"/>
          <w:szCs w:val="24"/>
        </w:rPr>
      </w:pPr>
    </w:p>
    <w:p w14:paraId="6A79D5C0" w14:textId="77777777" w:rsidR="00AC16C1" w:rsidRPr="00940E65" w:rsidRDefault="00AC16C1" w:rsidP="00AC16C1">
      <w:pPr>
        <w:pStyle w:val="Heading3"/>
        <w:numPr>
          <w:ilvl w:val="0"/>
          <w:numId w:val="0"/>
        </w:numPr>
        <w:ind w:left="360"/>
        <w:jc w:val="center"/>
        <w:rPr>
          <w:sz w:val="24"/>
          <w:szCs w:val="24"/>
        </w:rPr>
      </w:pPr>
      <w:r w:rsidRPr="00940E65">
        <w:rPr>
          <w:sz w:val="24"/>
          <w:szCs w:val="24"/>
        </w:rPr>
        <w:t>AUTORUZRAUDZĪBAS LĪGUMS</w:t>
      </w:r>
    </w:p>
    <w:p w14:paraId="5F0A2048" w14:textId="77777777" w:rsidR="00AC16C1" w:rsidRPr="00940E65" w:rsidRDefault="00AC16C1" w:rsidP="00AC16C1"/>
    <w:p w14:paraId="22855BD3" w14:textId="77777777" w:rsidR="00AC16C1" w:rsidRPr="00940E65" w:rsidRDefault="00AC16C1" w:rsidP="00AC16C1">
      <w:pPr>
        <w:rPr>
          <w:sz w:val="20"/>
        </w:rPr>
      </w:pPr>
    </w:p>
    <w:p w14:paraId="7120762E" w14:textId="764A165E" w:rsidR="00AC16C1" w:rsidRPr="00940E65" w:rsidRDefault="00AC16C1" w:rsidP="00AC16C1">
      <w:pPr>
        <w:jc w:val="both"/>
      </w:pPr>
      <w:r w:rsidRPr="00940E65">
        <w:t>Rīgā, 201</w:t>
      </w:r>
      <w:r w:rsidR="005B7413">
        <w:t>8</w:t>
      </w:r>
      <w:r w:rsidRPr="00940E65">
        <w:t>. gada ___</w:t>
      </w:r>
      <w:r w:rsidR="00E644C2">
        <w:t>.janvārī</w:t>
      </w:r>
      <w:r w:rsidRPr="00940E65">
        <w:t xml:space="preserve">       </w:t>
      </w:r>
      <w:r w:rsidRPr="00940E65">
        <w:rPr>
          <w:i/>
        </w:rPr>
        <w:t xml:space="preserve">   </w:t>
      </w:r>
      <w:r w:rsidRPr="00940E65">
        <w:rPr>
          <w:i/>
        </w:rPr>
        <w:tab/>
      </w:r>
      <w:r w:rsidRPr="00940E65">
        <w:rPr>
          <w:i/>
        </w:rPr>
        <w:tab/>
      </w:r>
      <w:r w:rsidR="00E644C2">
        <w:rPr>
          <w:i/>
        </w:rPr>
        <w:t xml:space="preserve"> </w:t>
      </w:r>
      <w:r w:rsidRPr="00940E65">
        <w:t>Līguma reģistrācijas numurs________</w:t>
      </w:r>
      <w:r w:rsidR="00E644C2">
        <w:t>__</w:t>
      </w:r>
    </w:p>
    <w:p w14:paraId="0562BC53" w14:textId="77777777" w:rsidR="00AC16C1" w:rsidRPr="00940E65" w:rsidRDefault="00AC16C1" w:rsidP="00AC16C1">
      <w:pPr>
        <w:jc w:val="both"/>
        <w:rPr>
          <w:sz w:val="20"/>
        </w:rPr>
      </w:pPr>
    </w:p>
    <w:p w14:paraId="37DF6823" w14:textId="77777777" w:rsidR="00AC16C1" w:rsidRPr="00940E65" w:rsidRDefault="00AC16C1" w:rsidP="00AC16C1">
      <w:pPr>
        <w:jc w:val="both"/>
        <w:rPr>
          <w:b/>
          <w:bCs/>
          <w:iCs/>
        </w:rPr>
      </w:pPr>
    </w:p>
    <w:p w14:paraId="10AAD219" w14:textId="77777777" w:rsidR="00E644C2" w:rsidRDefault="005B7413" w:rsidP="00AC16C1">
      <w:pPr>
        <w:jc w:val="both"/>
      </w:pPr>
      <w:r w:rsidRPr="00BE221B">
        <w:rPr>
          <w:b/>
          <w:bCs/>
          <w:iCs/>
        </w:rPr>
        <w:t>Profesionālās izglītības kompetences centrs „Rīgas Valsts tehnikums”</w:t>
      </w:r>
      <w:r w:rsidRPr="00940E65">
        <w:t xml:space="preserve">, turpmāk Pasūtītājs, </w:t>
      </w:r>
      <w:r>
        <w:t xml:space="preserve">tās direktores </w:t>
      </w:r>
      <w:r w:rsidRPr="00CE321F">
        <w:t>Dagnija</w:t>
      </w:r>
      <w:r>
        <w:t>s</w:t>
      </w:r>
      <w:r w:rsidRPr="00CE321F">
        <w:t xml:space="preserve"> Vanaga</w:t>
      </w:r>
      <w:r>
        <w:t>s personā</w:t>
      </w:r>
      <w:r w:rsidRPr="00940E65">
        <w:t>, kur</w:t>
      </w:r>
      <w:r>
        <w:t>a</w:t>
      </w:r>
      <w:r w:rsidRPr="00940E65">
        <w:t xml:space="preserve"> darbojas saskaņā ar nolikumu, no vienas puses un </w:t>
      </w:r>
    </w:p>
    <w:p w14:paraId="044AB239" w14:textId="7428E340" w:rsidR="00AC16C1" w:rsidRPr="00940E65" w:rsidRDefault="005B7413" w:rsidP="00AC16C1">
      <w:pPr>
        <w:jc w:val="both"/>
      </w:pPr>
      <w:r w:rsidRPr="00CE321F">
        <w:rPr>
          <w:b/>
          <w:bCs/>
        </w:rPr>
        <w:t>SIA "</w:t>
      </w:r>
      <w:proofErr w:type="spellStart"/>
      <w:r w:rsidRPr="00CE321F">
        <w:rPr>
          <w:b/>
          <w:bCs/>
        </w:rPr>
        <w:t>BM-projekts</w:t>
      </w:r>
      <w:proofErr w:type="spellEnd"/>
      <w:r w:rsidRPr="00CE321F">
        <w:rPr>
          <w:b/>
          <w:bCs/>
        </w:rPr>
        <w:t>"</w:t>
      </w:r>
      <w:r w:rsidRPr="00154164">
        <w:t xml:space="preserve">, </w:t>
      </w:r>
      <w:r>
        <w:t>turpmāk Izpildītājs, tā valdes locekļa</w:t>
      </w:r>
      <w:r w:rsidRPr="00940E65">
        <w:t xml:space="preserve"> </w:t>
      </w:r>
      <w:r w:rsidRPr="00CE321F">
        <w:t xml:space="preserve">Mārtiņa </w:t>
      </w:r>
      <w:proofErr w:type="spellStart"/>
      <w:r w:rsidRPr="00CE321F">
        <w:t>Blumentāla</w:t>
      </w:r>
      <w:proofErr w:type="spellEnd"/>
      <w:r w:rsidRPr="00940E65">
        <w:t xml:space="preserve"> personā, k</w:t>
      </w:r>
      <w:r>
        <w:t>urš</w:t>
      </w:r>
      <w:r w:rsidRPr="00940E65">
        <w:t xml:space="preserve"> darbojas uz </w:t>
      </w:r>
      <w:r>
        <w:t>nolikuma</w:t>
      </w:r>
      <w:r w:rsidRPr="00940E65">
        <w:t xml:space="preserve"> pamata, no otras puses, kopā saukti „Puses”</w:t>
      </w:r>
      <w:r w:rsidR="00E644C2">
        <w:t>, saskaņā ar atklāta</w:t>
      </w:r>
      <w:r w:rsidRPr="00940E65">
        <w:t xml:space="preserve"> konkursa „</w:t>
      </w:r>
      <w:r w:rsidRPr="00940E65">
        <w:rPr>
          <w:bCs/>
        </w:rPr>
        <w:t xml:space="preserve">Profesionālās izglītības kompetences centra „Rīgas Valsts tehnikums” </w:t>
      </w:r>
      <w:proofErr w:type="spellStart"/>
      <w:r w:rsidRPr="00940E65">
        <w:rPr>
          <w:bCs/>
        </w:rPr>
        <w:t>multifunkcionālās</w:t>
      </w:r>
      <w:proofErr w:type="spellEnd"/>
      <w:r w:rsidRPr="00940E65">
        <w:rPr>
          <w:bCs/>
        </w:rPr>
        <w:t xml:space="preserve"> zāles jaunbūves un </w:t>
      </w:r>
      <w:r w:rsidRPr="00940E65">
        <w:t>āra sporta laukumu būvniecības</w:t>
      </w:r>
      <w:r w:rsidRPr="00940E65">
        <w:rPr>
          <w:bCs/>
        </w:rPr>
        <w:t xml:space="preserve"> būvprojekta izstrāde un autoruzraudzības veikšana</w:t>
      </w:r>
      <w:r w:rsidRPr="00940E65">
        <w:t>” (</w:t>
      </w:r>
      <w:proofErr w:type="spellStart"/>
      <w:r w:rsidRPr="00940E65">
        <w:t>id.Nr.VIAA</w:t>
      </w:r>
      <w:proofErr w:type="spellEnd"/>
      <w:r w:rsidRPr="00940E65">
        <w:t xml:space="preserve"> 2017/76 ERAF RVT) (turpmāk – Iepirkums) rezultātiem, bez maldības, viltus un spaidiem noslēdz šādu </w:t>
      </w:r>
      <w:r w:rsidR="00E644C2">
        <w:t>l</w:t>
      </w:r>
      <w:r w:rsidRPr="00940E65">
        <w:t xml:space="preserve">īgumu projekta </w:t>
      </w:r>
      <w:r w:rsidRPr="00CE321F">
        <w:t>“Profesionālās izglītības kompetences</w:t>
      </w:r>
      <w:r w:rsidR="00E644C2">
        <w:t xml:space="preserve"> centra “Rīgas Valsts tehnikums”</w:t>
      </w:r>
      <w:r w:rsidRPr="00CE321F">
        <w:t xml:space="preserve"> modernizēšana specifiskā atbalsta mērķa 8.1.3. “Palielināt modernizēto profesio</w:t>
      </w:r>
      <w:r w:rsidR="00E644C2">
        <w:t>nālās izglītības iestāžu skaitu”</w:t>
      </w:r>
      <w:r w:rsidRPr="00940E65">
        <w:t xml:space="preserve"> ietvaros</w:t>
      </w:r>
      <w:r w:rsidR="00E644C2">
        <w:t>”, projekta Nr.8.1.3.0/16/I/015, ietvaros</w:t>
      </w:r>
      <w:r w:rsidRPr="00940E65">
        <w:t xml:space="preserve"> (turpmāk – Līgums), par turpmāk minēto</w:t>
      </w:r>
      <w:r w:rsidR="00AC16C1" w:rsidRPr="00940E65">
        <w:t>:</w:t>
      </w:r>
    </w:p>
    <w:p w14:paraId="40A3DD78" w14:textId="77777777" w:rsidR="00AC16C1" w:rsidRPr="00940E65" w:rsidRDefault="00AC16C1" w:rsidP="00AC16C1">
      <w:pPr>
        <w:pStyle w:val="Body"/>
        <w:jc w:val="right"/>
      </w:pPr>
    </w:p>
    <w:p w14:paraId="6974173D" w14:textId="77777777" w:rsidR="00AC16C1" w:rsidRPr="00940E65" w:rsidRDefault="00AC16C1" w:rsidP="00AC16C1">
      <w:pPr>
        <w:numPr>
          <w:ilvl w:val="0"/>
          <w:numId w:val="2"/>
        </w:numPr>
        <w:suppressAutoHyphens w:val="0"/>
        <w:spacing w:before="60" w:after="120"/>
        <w:jc w:val="both"/>
        <w:rPr>
          <w:b/>
        </w:rPr>
      </w:pPr>
      <w:r w:rsidRPr="00940E65">
        <w:rPr>
          <w:b/>
        </w:rPr>
        <w:t>Līguma priekšmets</w:t>
      </w:r>
    </w:p>
    <w:p w14:paraId="25AC666A" w14:textId="77777777" w:rsidR="00AC16C1" w:rsidRPr="00940E65" w:rsidRDefault="00AC16C1" w:rsidP="00AC16C1">
      <w:pPr>
        <w:pStyle w:val="ListParagraph"/>
        <w:numPr>
          <w:ilvl w:val="1"/>
          <w:numId w:val="2"/>
        </w:numPr>
        <w:tabs>
          <w:tab w:val="clear" w:pos="420"/>
        </w:tabs>
        <w:suppressAutoHyphens w:val="0"/>
        <w:spacing w:after="120" w:line="240" w:lineRule="auto"/>
        <w:ind w:left="567" w:hanging="567"/>
        <w:jc w:val="both"/>
        <w:rPr>
          <w:szCs w:val="20"/>
          <w:lang w:val="lv-LV"/>
        </w:rPr>
      </w:pPr>
      <w:r w:rsidRPr="00940E65">
        <w:rPr>
          <w:szCs w:val="20"/>
          <w:lang w:val="lv-LV"/>
        </w:rPr>
        <w:t xml:space="preserve">Pasūtītājs uzdod un Izpildītājs apņemas veikt </w:t>
      </w:r>
      <w:r w:rsidR="005B7413" w:rsidRPr="00E644C2">
        <w:rPr>
          <w:bCs/>
          <w:lang w:val="lv-LV"/>
        </w:rPr>
        <w:t xml:space="preserve">Profesionālās izglītības kompetences centra „Rīgas Valsts tehnikums” multifunkcionālās zāles jaunbūves un </w:t>
      </w:r>
      <w:r w:rsidR="005B7413" w:rsidRPr="00E644C2">
        <w:rPr>
          <w:lang w:val="lv-LV"/>
        </w:rPr>
        <w:t>āra sporta laukuma būvniecības</w:t>
      </w:r>
      <w:r w:rsidRPr="00940E65">
        <w:rPr>
          <w:b/>
          <w:i/>
          <w:lang w:val="lv-LV"/>
        </w:rPr>
        <w:t xml:space="preserve"> autoruzraudzību</w:t>
      </w:r>
      <w:r w:rsidRPr="00940E65">
        <w:rPr>
          <w:szCs w:val="20"/>
          <w:lang w:val="lv-LV"/>
        </w:rPr>
        <w:t xml:space="preserve"> (turpmāk – Darbs), atbilstoši Būvniecības likumam, </w:t>
      </w:r>
      <w:r w:rsidRPr="00940E65">
        <w:rPr>
          <w:lang w:val="lv-LV"/>
        </w:rPr>
        <w:t>Ministru kabineta 2014.gada 19.augusta noteikumiem Nr.500 „Vispārīgie būvnoteikumi”</w:t>
      </w:r>
      <w:r w:rsidRPr="00940E65">
        <w:rPr>
          <w:szCs w:val="20"/>
          <w:lang w:val="lv-LV"/>
        </w:rPr>
        <w:t xml:space="preserve"> un citu tiesību aktu prasībām, kā arī sadarboties neparedzētu tehnisku problēmu risināšanā saistībā ar būvprojektā minētā objekta būvdarbiem.</w:t>
      </w:r>
    </w:p>
    <w:p w14:paraId="61E1AF85" w14:textId="77777777" w:rsidR="00AC16C1" w:rsidRPr="00940E65" w:rsidRDefault="00AC16C1" w:rsidP="00AC16C1">
      <w:pPr>
        <w:numPr>
          <w:ilvl w:val="0"/>
          <w:numId w:val="2"/>
        </w:numPr>
        <w:suppressAutoHyphens w:val="0"/>
        <w:spacing w:before="240" w:after="120"/>
        <w:jc w:val="both"/>
        <w:rPr>
          <w:b/>
        </w:rPr>
      </w:pPr>
      <w:r w:rsidRPr="00940E65">
        <w:rPr>
          <w:b/>
        </w:rPr>
        <w:t>Līgumcena</w:t>
      </w:r>
    </w:p>
    <w:p w14:paraId="2A17784E" w14:textId="77777777" w:rsidR="00AC16C1" w:rsidRPr="00940E65" w:rsidRDefault="00AC16C1" w:rsidP="00AC16C1">
      <w:pPr>
        <w:numPr>
          <w:ilvl w:val="1"/>
          <w:numId w:val="2"/>
        </w:numPr>
        <w:tabs>
          <w:tab w:val="clear" w:pos="420"/>
        </w:tabs>
        <w:suppressAutoHyphens w:val="0"/>
        <w:ind w:left="567" w:hanging="567"/>
        <w:jc w:val="both"/>
      </w:pPr>
      <w:r w:rsidRPr="00940E65">
        <w:t xml:space="preserve">Par Darba veikšanu Pasūtītājs samaksā Izpildītājam līgumcenu </w:t>
      </w:r>
      <w:r w:rsidR="005B7413">
        <w:rPr>
          <w:i/>
        </w:rPr>
        <w:t>5200,00 EUR (</w:t>
      </w:r>
      <w:r w:rsidR="005B7413" w:rsidRPr="005B7413">
        <w:t xml:space="preserve">pieci tūkstoši divi simti </w:t>
      </w:r>
      <w:proofErr w:type="spellStart"/>
      <w:r w:rsidR="005B7413">
        <w:rPr>
          <w:i/>
        </w:rPr>
        <w:t>euro</w:t>
      </w:r>
      <w:proofErr w:type="spellEnd"/>
      <w:r w:rsidR="005B7413">
        <w:rPr>
          <w:i/>
        </w:rPr>
        <w:t xml:space="preserve"> </w:t>
      </w:r>
      <w:r w:rsidR="005B7413" w:rsidRPr="005B7413">
        <w:t>un nulle centi</w:t>
      </w:r>
      <w:r w:rsidR="005B7413">
        <w:rPr>
          <w:i/>
        </w:rPr>
        <w:t>)</w:t>
      </w:r>
      <w:r w:rsidRPr="00940E65">
        <w:t xml:space="preserve">. Pievienotās vērtības nodoklis 21% ir </w:t>
      </w:r>
      <w:r w:rsidR="005B7413">
        <w:rPr>
          <w:i/>
        </w:rPr>
        <w:t>1092,00 EUR (</w:t>
      </w:r>
      <w:r w:rsidR="005B7413" w:rsidRPr="005B7413">
        <w:t xml:space="preserve">viens tūkstotis deviņdesmit divi </w:t>
      </w:r>
      <w:proofErr w:type="spellStart"/>
      <w:r w:rsidR="005B7413">
        <w:rPr>
          <w:i/>
        </w:rPr>
        <w:t>euro</w:t>
      </w:r>
      <w:proofErr w:type="spellEnd"/>
      <w:r w:rsidR="005B7413">
        <w:rPr>
          <w:i/>
        </w:rPr>
        <w:t xml:space="preserve"> </w:t>
      </w:r>
      <w:r w:rsidR="005B7413" w:rsidRPr="005B7413">
        <w:t>un nulle centi</w:t>
      </w:r>
      <w:r w:rsidR="005B7413">
        <w:rPr>
          <w:i/>
        </w:rPr>
        <w:t>)</w:t>
      </w:r>
      <w:r w:rsidRPr="00940E65">
        <w:t xml:space="preserve">. Līgumcenas un pievienotās vērtības nodokļa summa ir </w:t>
      </w:r>
      <w:r w:rsidR="005B7413">
        <w:t xml:space="preserve">6292,00 EUR (seši tūkstoši divi simti deviņdesmit divi </w:t>
      </w:r>
      <w:proofErr w:type="spellStart"/>
      <w:r w:rsidR="005B7413" w:rsidRPr="002972B1">
        <w:rPr>
          <w:i/>
        </w:rPr>
        <w:t>euro</w:t>
      </w:r>
      <w:proofErr w:type="spellEnd"/>
      <w:r w:rsidR="005B7413">
        <w:t xml:space="preserve"> un nulle centi)</w:t>
      </w:r>
      <w:r w:rsidRPr="00940E65">
        <w:t>.</w:t>
      </w:r>
      <w:r w:rsidRPr="00940E65">
        <w:rPr>
          <w:i/>
        </w:rPr>
        <w:t xml:space="preserve"> </w:t>
      </w:r>
    </w:p>
    <w:p w14:paraId="616F0CE5" w14:textId="5FA3139F" w:rsidR="00AC16C1" w:rsidRPr="00940E65" w:rsidRDefault="00AC16C1" w:rsidP="00AC16C1">
      <w:pPr>
        <w:numPr>
          <w:ilvl w:val="1"/>
          <w:numId w:val="2"/>
        </w:numPr>
        <w:tabs>
          <w:tab w:val="clear" w:pos="420"/>
        </w:tabs>
        <w:suppressAutoHyphens w:val="0"/>
        <w:spacing w:before="120" w:after="120"/>
        <w:ind w:left="567" w:hanging="567"/>
        <w:jc w:val="both"/>
      </w:pPr>
      <w:r w:rsidRPr="00940E65">
        <w:t>Līgumcena ietver visus Izpildītāja izdevumus, kas saistīti ar Līgumā paredzēto saistību izpildi (tajā skaitā, bet ne tikai autoruzraudzības organizācijas un izpildes izdevumi, personāla izmaksas, nodokļi, pieskaitāmās izmaksas, ar peļņu un riska faktoriem saistītās izmaksas, izmaksas par Līgumā paredzēto apdrošināšanu un garantiju saņemšanu, apakšuzņēmēju darbu apmaksu, izmaksas, kas saistītas ar kļūdu un neatbilstību, kas radušās Izpildītāja vainas dēļ, novēršanu, konsultāciju sniegšana Pasūtītājam). Izpildītājs uzņemas risku, t.i., nepieprasot papildus samaksu no Pasūtītāja, ja Darbu izpildes laikā tiek konstatēts, ka Izpildītājs nav iekļāvis visus nepieciešamos Darbus saskaņā ar Līgumu, kļūdījies Darbu apjomos vai cenās, nav piedāvājis cenu par visu Darbu apjomu, kas nepieciešami Darbu pilnīgai pabeigšanai un nodošanai Pasūtītājam saskaņā ar Līgumu. Mainoties būvdarbu izpildes laikam, līgumcena netiek grozīta.</w:t>
      </w:r>
    </w:p>
    <w:p w14:paraId="7C4E8EBF" w14:textId="77777777" w:rsidR="00AC16C1" w:rsidRPr="00940E65" w:rsidRDefault="00AC16C1" w:rsidP="00AC16C1">
      <w:pPr>
        <w:numPr>
          <w:ilvl w:val="0"/>
          <w:numId w:val="2"/>
        </w:numPr>
        <w:suppressAutoHyphens w:val="0"/>
        <w:spacing w:before="240" w:after="120"/>
        <w:jc w:val="both"/>
        <w:rPr>
          <w:b/>
        </w:rPr>
      </w:pPr>
      <w:r w:rsidRPr="00940E65">
        <w:rPr>
          <w:b/>
        </w:rPr>
        <w:t>Līguma darbības laiks</w:t>
      </w:r>
    </w:p>
    <w:p w14:paraId="6CC72241" w14:textId="77777777" w:rsidR="00AC16C1" w:rsidRPr="00940E65" w:rsidRDefault="00AC16C1" w:rsidP="00AC16C1">
      <w:pPr>
        <w:numPr>
          <w:ilvl w:val="1"/>
          <w:numId w:val="2"/>
        </w:numPr>
        <w:tabs>
          <w:tab w:val="clear" w:pos="420"/>
        </w:tabs>
        <w:suppressAutoHyphens w:val="0"/>
        <w:ind w:left="567" w:hanging="567"/>
        <w:jc w:val="both"/>
      </w:pPr>
      <w:r w:rsidRPr="00940E65">
        <w:t>Līgums stājas spēkā ar tā parakstīšanas brīdi un ir spēkā līdz saistību galīgai izpildei.</w:t>
      </w:r>
    </w:p>
    <w:p w14:paraId="2E7A14F8" w14:textId="140D1469" w:rsidR="00AC16C1" w:rsidRPr="00940E65" w:rsidRDefault="00AC16C1" w:rsidP="00AC16C1">
      <w:pPr>
        <w:numPr>
          <w:ilvl w:val="1"/>
          <w:numId w:val="2"/>
        </w:numPr>
        <w:tabs>
          <w:tab w:val="clear" w:pos="420"/>
        </w:tabs>
        <w:suppressAutoHyphens w:val="0"/>
        <w:spacing w:before="120" w:after="120"/>
        <w:ind w:left="567" w:hanging="567"/>
        <w:jc w:val="both"/>
      </w:pPr>
      <w:r w:rsidRPr="00940E65">
        <w:lastRenderedPageBreak/>
        <w:t>Izpildītājs autoruzraudzības un sadarbības darbus veic Līguma 1.1.punktā minētajā būvobjektā 1</w:t>
      </w:r>
      <w:r w:rsidR="00E644C2">
        <w:t>3</w:t>
      </w:r>
      <w:r w:rsidRPr="00940E65">
        <w:t xml:space="preserve"> (</w:t>
      </w:r>
      <w:r w:rsidR="00E644C2">
        <w:rPr>
          <w:i/>
        </w:rPr>
        <w:t>trīs</w:t>
      </w:r>
      <w:r w:rsidRPr="00940E65">
        <w:rPr>
          <w:i/>
        </w:rPr>
        <w:t>padsmit</w:t>
      </w:r>
      <w:r w:rsidRPr="00940E65">
        <w:t>) mēnešu laikā no būvdarbu uzsākšanas.</w:t>
      </w:r>
    </w:p>
    <w:p w14:paraId="1C834397" w14:textId="77777777" w:rsidR="00AC16C1" w:rsidRPr="00940E65" w:rsidRDefault="00AC16C1" w:rsidP="002972B1">
      <w:pPr>
        <w:numPr>
          <w:ilvl w:val="1"/>
          <w:numId w:val="2"/>
        </w:numPr>
        <w:tabs>
          <w:tab w:val="clear" w:pos="420"/>
        </w:tabs>
        <w:suppressAutoHyphens w:val="0"/>
        <w:spacing w:before="120" w:after="120"/>
        <w:ind w:left="426" w:hanging="426"/>
        <w:jc w:val="both"/>
      </w:pPr>
      <w:r w:rsidRPr="00940E65">
        <w:t>Gadījumā, ja būvdarbu kopējais ilgums no Izpildītāja neatkarīgu un objektīvu iemeslu dēļ tiek pagarināts, attiecīgi tiek pagarināts autoruzraudzības nodrošināšanas termiņš, par to neparedzot papildu samaksu Izpildītājam, bet ne ilgāk kā par 3 (</w:t>
      </w:r>
      <w:r w:rsidRPr="00940E65">
        <w:rPr>
          <w:i/>
        </w:rPr>
        <w:t>trīs</w:t>
      </w:r>
      <w:r w:rsidRPr="00940E65">
        <w:t>) kalendārajiem mēnešiem.</w:t>
      </w:r>
    </w:p>
    <w:p w14:paraId="72C4B4FF" w14:textId="77777777" w:rsidR="00AC16C1" w:rsidRPr="00940E65" w:rsidRDefault="00AC16C1" w:rsidP="00AC16C1">
      <w:pPr>
        <w:numPr>
          <w:ilvl w:val="1"/>
          <w:numId w:val="2"/>
        </w:numPr>
        <w:spacing w:after="120"/>
        <w:jc w:val="both"/>
      </w:pPr>
      <w:r w:rsidRPr="00940E65">
        <w:t>Ja Līguma 3.2.punktā noteiktais autoruzraudzības termiņš tiek pagarināts ilgāk par 3 (</w:t>
      </w:r>
      <w:r w:rsidRPr="00940E65">
        <w:rPr>
          <w:i/>
        </w:rPr>
        <w:t>trīs</w:t>
      </w:r>
      <w:r w:rsidRPr="00940E65">
        <w:t>) kalendārajiem mēnešiem, Pasūtītājs par pagarinājuma laiku maksā Izpildītājam papildus samaksu par katru pagarinājuma kalendāro dienu. Samaksa tiek aprēķināta kā vienas dienas izmaksas pie pamatlīguma nosacījumiem (Līguma 2.1.punktā minētā līguma summa dalīta ar Līguma 3.2.punktā noteikto autoruzraudzības termiņu (kalendāro dienu skaitu)), kas reizinātas ar pamatlīguma pagarinājuma kalendāro dienu skaitu.</w:t>
      </w:r>
    </w:p>
    <w:p w14:paraId="7F607CDD" w14:textId="77777777" w:rsidR="00AC16C1" w:rsidRPr="00940E65" w:rsidRDefault="00AC16C1" w:rsidP="00AC16C1">
      <w:pPr>
        <w:numPr>
          <w:ilvl w:val="1"/>
          <w:numId w:val="2"/>
        </w:numPr>
        <w:spacing w:after="240"/>
        <w:jc w:val="both"/>
        <w:rPr>
          <w:szCs w:val="22"/>
        </w:rPr>
      </w:pPr>
      <w:r w:rsidRPr="00940E65">
        <w:rPr>
          <w:szCs w:val="22"/>
        </w:rPr>
        <w:t>Gadījumā, ja būvdarbu kopējais ilgums tiek pagarināts, bet visiem darbiem objektā ir noteikts tehnoloģiskais pārtraukums, par šo laika periodu netiek paredzēta papildu samaksa Izpildītājam.</w:t>
      </w:r>
    </w:p>
    <w:p w14:paraId="33A32F95" w14:textId="77777777" w:rsidR="00AC16C1" w:rsidRPr="00940E65" w:rsidRDefault="00AC16C1" w:rsidP="00AC16C1">
      <w:pPr>
        <w:pStyle w:val="ListParagraph"/>
        <w:numPr>
          <w:ilvl w:val="0"/>
          <w:numId w:val="3"/>
        </w:numPr>
        <w:suppressAutoHyphens w:val="0"/>
        <w:spacing w:after="120" w:line="240" w:lineRule="auto"/>
        <w:ind w:left="357" w:hanging="357"/>
        <w:rPr>
          <w:b/>
          <w:lang w:val="lv-LV"/>
        </w:rPr>
      </w:pPr>
      <w:r w:rsidRPr="00940E65">
        <w:rPr>
          <w:b/>
          <w:lang w:val="lv-LV"/>
        </w:rPr>
        <w:t>Apdrošināšana</w:t>
      </w:r>
    </w:p>
    <w:p w14:paraId="1665465E" w14:textId="77777777" w:rsidR="00AC16C1" w:rsidRPr="00940E65" w:rsidRDefault="00AC16C1" w:rsidP="00AC16C1">
      <w:pPr>
        <w:numPr>
          <w:ilvl w:val="1"/>
          <w:numId w:val="3"/>
        </w:numPr>
        <w:suppressAutoHyphens w:val="0"/>
        <w:spacing w:after="120"/>
        <w:ind w:left="567" w:hanging="567"/>
        <w:jc w:val="both"/>
      </w:pPr>
      <w:r w:rsidRPr="00940E65">
        <w:t>Izpildītājam ir pienākums 3 (</w:t>
      </w:r>
      <w:r w:rsidRPr="00940E65">
        <w:rPr>
          <w:i/>
        </w:rPr>
        <w:t>trīs</w:t>
      </w:r>
      <w:r w:rsidRPr="00940E65">
        <w:t xml:space="preserve">) dienu laikā pēc būvdarbu uzsākšanas iesniegt Pasūtītājam </w:t>
      </w:r>
      <w:proofErr w:type="spellStart"/>
      <w:r w:rsidRPr="00940E65">
        <w:t>būvspeciālista</w:t>
      </w:r>
      <w:proofErr w:type="spellEnd"/>
      <w:r w:rsidRPr="00940E65">
        <w:t xml:space="preserve">, kas veiks atbildīgā </w:t>
      </w:r>
      <w:proofErr w:type="spellStart"/>
      <w:r w:rsidRPr="00940E65">
        <w:t>autoruzrauga</w:t>
      </w:r>
      <w:proofErr w:type="spellEnd"/>
      <w:r w:rsidRPr="00940E65">
        <w:t xml:space="preserve"> pienākumus, profesionālās civiltiesiskās atbildības apdrošināšanas līgumu par visu būvdarbu un garantijas laiku. Sākotnējam līgumam jābūt noslēgtam ne mazāk kā uz 1 (</w:t>
      </w:r>
      <w:r w:rsidRPr="00940E65">
        <w:rPr>
          <w:i/>
        </w:rPr>
        <w:t>vienu</w:t>
      </w:r>
      <w:r w:rsidRPr="00940E65">
        <w:t xml:space="preserve">) gadu. Apdrošināšanas līgumu slēdz atbilstoši Ministru kabineta 2014.gada 19.augusta noteikumiem Nr.502 „Noteikumi par </w:t>
      </w:r>
      <w:proofErr w:type="spellStart"/>
      <w:r w:rsidRPr="00940E65">
        <w:t>būvspeciālistu</w:t>
      </w:r>
      <w:proofErr w:type="spellEnd"/>
      <w:r w:rsidRPr="00940E65">
        <w:t xml:space="preserve"> un būvdarbu veicēju civiltiesiskās atbildības obligāto apdrošināšanu”. Izpildītājam jānodrošina, ka apdrošināšanas līgums ir spēkā visā būvdarbu izpildes un būvdarbu garantijas termiņa laikā.</w:t>
      </w:r>
    </w:p>
    <w:p w14:paraId="46493274" w14:textId="77777777" w:rsidR="00AC16C1" w:rsidRPr="00940E65" w:rsidRDefault="00AC16C1" w:rsidP="00AC16C1">
      <w:pPr>
        <w:numPr>
          <w:ilvl w:val="1"/>
          <w:numId w:val="3"/>
        </w:numPr>
        <w:suppressAutoHyphens w:val="0"/>
        <w:spacing w:after="120"/>
        <w:ind w:left="567" w:hanging="567"/>
        <w:jc w:val="both"/>
      </w:pPr>
      <w:r w:rsidRPr="00940E65">
        <w:t>Gadījumā, ja būvdarbu uzsākšanas brīdī Izpildītājam ir spēkā esošs apdrošināšanas līgums, kas atbilst Līguma 4.1.punkta prasībām, izņemot tā termiņu, Izpildītājam ir pienākums pirms spēkā esošā apdrošināšanas līguma darbības beigām, iesniegt Pasūtītājam jaunu apdrošināšanas līgumu, kura beigu termiņš būtu vismaz 1 (</w:t>
      </w:r>
      <w:r w:rsidRPr="00940E65">
        <w:rPr>
          <w:i/>
        </w:rPr>
        <w:t>viens</w:t>
      </w:r>
      <w:r w:rsidRPr="00940E65">
        <w:t>) gads no būvdarbu uzsākšanas brīža.</w:t>
      </w:r>
    </w:p>
    <w:p w14:paraId="01216FB9" w14:textId="77777777" w:rsidR="00AC16C1" w:rsidRPr="00940E65" w:rsidRDefault="00AC16C1" w:rsidP="00AC16C1">
      <w:pPr>
        <w:numPr>
          <w:ilvl w:val="1"/>
          <w:numId w:val="3"/>
        </w:numPr>
        <w:suppressAutoHyphens w:val="0"/>
        <w:ind w:left="567" w:hanging="567"/>
        <w:jc w:val="both"/>
      </w:pPr>
      <w:r w:rsidRPr="00940E65">
        <w:t>Ja noslēgtā apdrošināšanas līguma termiņš tuvojas beigām, bet būvdarbi vēl turpinās, Izpildītājam ir pienākums pirms spēkā esošā apdrošināšanas līguma darbības beigām iesniegt Pasūtītājam jaunu apdrošināšanas līgumu (vai pagarināt esošo) ar beigu termiņu līdz būvdarbu un būvdarbu garantijas laika beigām.</w:t>
      </w:r>
    </w:p>
    <w:p w14:paraId="7AC7CF0A" w14:textId="77777777" w:rsidR="00AC16C1" w:rsidRPr="00940E65" w:rsidRDefault="00AC16C1" w:rsidP="00AC16C1">
      <w:pPr>
        <w:numPr>
          <w:ilvl w:val="0"/>
          <w:numId w:val="4"/>
        </w:numPr>
        <w:suppressAutoHyphens w:val="0"/>
        <w:spacing w:before="240" w:after="120"/>
        <w:jc w:val="both"/>
        <w:rPr>
          <w:b/>
        </w:rPr>
      </w:pPr>
      <w:r w:rsidRPr="00940E65">
        <w:rPr>
          <w:b/>
        </w:rPr>
        <w:t>Darba nodošanas – pieņemšanas un norēķinu kārtība</w:t>
      </w:r>
    </w:p>
    <w:p w14:paraId="5E5EB3BC" w14:textId="54D4C1DB" w:rsidR="00AC16C1" w:rsidRPr="00940E65" w:rsidRDefault="00AC16C1" w:rsidP="00AC16C1">
      <w:pPr>
        <w:numPr>
          <w:ilvl w:val="1"/>
          <w:numId w:val="4"/>
        </w:numPr>
        <w:tabs>
          <w:tab w:val="clear" w:pos="420"/>
        </w:tabs>
        <w:suppressAutoHyphens w:val="0"/>
        <w:ind w:left="567" w:hanging="567"/>
        <w:jc w:val="both"/>
      </w:pPr>
      <w:r w:rsidRPr="00940E65">
        <w:t>Maksājumi par būvobjekta autoruzraudzību Izpildītājam tiek veikti vienu reizi mēnesī, maksājot autoruzraudzības līgumcenas proporcionālo daļu atbilstoši būvobjekta celtniecības laikam, kur kopējā summa nepārsniedz 80 (</w:t>
      </w:r>
      <w:r w:rsidRPr="00940E65">
        <w:rPr>
          <w:i/>
        </w:rPr>
        <w:t>astoņdesmit</w:t>
      </w:r>
      <w:r w:rsidRPr="00940E65">
        <w:t>) % no visas Līgumcenas. Atlikušie 20 (</w:t>
      </w:r>
      <w:r w:rsidRPr="00940E65">
        <w:rPr>
          <w:i/>
        </w:rPr>
        <w:t>divdesmit</w:t>
      </w:r>
      <w:r w:rsidRPr="00940E65">
        <w:t xml:space="preserve">) % no līgumcenas tiek samaksāti pēc būvobjekta nodošanas ekspluatācijā. Ja atskaites mēnesis nav pilns, tad aprēķins var tikt veikts, pieņemot par pamatu pilnu mēnesi. </w:t>
      </w:r>
    </w:p>
    <w:p w14:paraId="72221779" w14:textId="77777777" w:rsidR="00AC16C1" w:rsidRPr="00940E65" w:rsidRDefault="00AC16C1" w:rsidP="00AC16C1">
      <w:pPr>
        <w:numPr>
          <w:ilvl w:val="1"/>
          <w:numId w:val="4"/>
        </w:numPr>
        <w:tabs>
          <w:tab w:val="clear" w:pos="420"/>
        </w:tabs>
        <w:suppressAutoHyphens w:val="0"/>
        <w:spacing w:before="120" w:after="120"/>
        <w:ind w:left="567" w:hanging="567"/>
        <w:jc w:val="both"/>
      </w:pPr>
      <w:r w:rsidRPr="00940E65">
        <w:t>Pasūtītājs samaksu par Darbu veic 30 (</w:t>
      </w:r>
      <w:r w:rsidRPr="00940E65">
        <w:rPr>
          <w:i/>
        </w:rPr>
        <w:t>trīsdesmit</w:t>
      </w:r>
      <w:r w:rsidRPr="00940E65">
        <w:t>) dienu laikā pēc nodošanas-pieņemšanas akta un rēķina saņemšanas.</w:t>
      </w:r>
    </w:p>
    <w:p w14:paraId="20EB778B" w14:textId="0CFFD028" w:rsidR="00AC16C1" w:rsidRPr="00940E65" w:rsidRDefault="00AC16C1" w:rsidP="00AC16C1">
      <w:pPr>
        <w:numPr>
          <w:ilvl w:val="1"/>
          <w:numId w:val="4"/>
        </w:numPr>
        <w:tabs>
          <w:tab w:val="clear" w:pos="420"/>
        </w:tabs>
        <w:suppressAutoHyphens w:val="0"/>
        <w:ind w:left="567" w:hanging="567"/>
        <w:jc w:val="both"/>
      </w:pPr>
      <w:r w:rsidRPr="00940E65">
        <w:t xml:space="preserve">Rēķinos norāda Izpildītāja un Pasūtītāja rekvizītus un atsauci uz </w:t>
      </w:r>
      <w:r w:rsidR="00E644C2">
        <w:t xml:space="preserve">projektu </w:t>
      </w:r>
      <w:r w:rsidR="00E644C2" w:rsidRPr="00CE321F">
        <w:t>“Profesionālās izglītības kompetences</w:t>
      </w:r>
      <w:r w:rsidR="00E644C2">
        <w:t xml:space="preserve"> centra “Rīgas Valsts tehnikums”</w:t>
      </w:r>
      <w:r w:rsidR="00E644C2" w:rsidRPr="00CE321F">
        <w:t xml:space="preserve"> modernizēšana specifiskā atbalsta mērķa 8.1.3. “Palielināt modernizēto profesio</w:t>
      </w:r>
      <w:r w:rsidR="00E644C2">
        <w:t>nālās izglītības iestāžu skaitu”</w:t>
      </w:r>
      <w:r w:rsidR="00E644C2" w:rsidRPr="00940E65">
        <w:t xml:space="preserve"> ietvaros</w:t>
      </w:r>
      <w:r w:rsidR="00E644C2">
        <w:t xml:space="preserve">”, projekta Nr.8.1.3.0/16/I/015. </w:t>
      </w:r>
    </w:p>
    <w:p w14:paraId="0455C945" w14:textId="77777777" w:rsidR="00AC16C1" w:rsidRPr="00940E65" w:rsidRDefault="00AC16C1" w:rsidP="00AC16C1">
      <w:pPr>
        <w:numPr>
          <w:ilvl w:val="1"/>
          <w:numId w:val="4"/>
        </w:numPr>
        <w:tabs>
          <w:tab w:val="clear" w:pos="420"/>
        </w:tabs>
        <w:suppressAutoHyphens w:val="0"/>
        <w:spacing w:before="120"/>
        <w:ind w:left="567" w:hanging="567"/>
        <w:jc w:val="both"/>
      </w:pPr>
      <w:r w:rsidRPr="00940E65">
        <w:t>Pasūtītājam ir tiesības aizturēt vai samazināt samaksu, bet ne vairāk kā 10 (</w:t>
      </w:r>
      <w:r w:rsidRPr="00940E65">
        <w:rPr>
          <w:i/>
        </w:rPr>
        <w:t>desmit</w:t>
      </w:r>
      <w:r w:rsidRPr="00940E65">
        <w:t xml:space="preserve">) % no atbilstošajā periodā paredzētās summas, ja atskaites periodā Izpildītājs ir pieļāvis vai nav novērsis kļūdas Darba izpildē. </w:t>
      </w:r>
    </w:p>
    <w:p w14:paraId="6A171143" w14:textId="77777777" w:rsidR="00AC16C1" w:rsidRPr="00940E65" w:rsidRDefault="00AC16C1" w:rsidP="00AC16C1">
      <w:pPr>
        <w:numPr>
          <w:ilvl w:val="1"/>
          <w:numId w:val="4"/>
        </w:numPr>
        <w:tabs>
          <w:tab w:val="clear" w:pos="420"/>
        </w:tabs>
        <w:suppressAutoHyphens w:val="0"/>
        <w:spacing w:before="120" w:after="120"/>
        <w:ind w:left="567" w:hanging="567"/>
        <w:jc w:val="both"/>
      </w:pPr>
      <w:r w:rsidRPr="00940E65">
        <w:lastRenderedPageBreak/>
        <w:t>Gadījumā, ja Pasūtītājs neveic maksājumus 5.2.punktā noteiktajā termiņā, Izpildītājs var prasīt līgumsodu 0,1 (</w:t>
      </w:r>
      <w:r w:rsidRPr="00940E65">
        <w:rPr>
          <w:i/>
        </w:rPr>
        <w:t>nulle</w:t>
      </w:r>
      <w:r w:rsidR="00E644C2">
        <w:rPr>
          <w:i/>
        </w:rPr>
        <w:t>,</w:t>
      </w:r>
      <w:r w:rsidRPr="00940E65">
        <w:rPr>
          <w:i/>
        </w:rPr>
        <w:t xml:space="preserve"> komats</w:t>
      </w:r>
      <w:r w:rsidR="00E644C2">
        <w:rPr>
          <w:i/>
        </w:rPr>
        <w:t>,</w:t>
      </w:r>
      <w:r w:rsidRPr="00940E65">
        <w:rPr>
          <w:i/>
        </w:rPr>
        <w:t xml:space="preserve"> viena</w:t>
      </w:r>
      <w:r w:rsidRPr="00940E65">
        <w:t>) % apmērā no nokavētās maksājuma summas par katru kavējuma dienu, bet ne vairāk par 10 (</w:t>
      </w:r>
      <w:r w:rsidRPr="00940E65">
        <w:rPr>
          <w:i/>
        </w:rPr>
        <w:t>desmit</w:t>
      </w:r>
      <w:r w:rsidRPr="00940E65">
        <w:t>) % no nokavētās maksājuma summas.</w:t>
      </w:r>
    </w:p>
    <w:p w14:paraId="11FE3632" w14:textId="77777777" w:rsidR="00AC16C1" w:rsidRPr="00940E65" w:rsidRDefault="00AC16C1" w:rsidP="00AC16C1">
      <w:pPr>
        <w:suppressAutoHyphens w:val="0"/>
        <w:spacing w:before="120" w:after="120"/>
        <w:jc w:val="both"/>
      </w:pPr>
    </w:p>
    <w:p w14:paraId="6071E37F" w14:textId="77777777" w:rsidR="00AC16C1" w:rsidRPr="00940E65" w:rsidRDefault="00AC16C1" w:rsidP="00AC16C1">
      <w:pPr>
        <w:numPr>
          <w:ilvl w:val="0"/>
          <w:numId w:val="4"/>
        </w:numPr>
        <w:suppressAutoHyphens w:val="0"/>
        <w:spacing w:before="240" w:after="120"/>
        <w:jc w:val="both"/>
        <w:rPr>
          <w:b/>
        </w:rPr>
      </w:pPr>
      <w:r w:rsidRPr="00940E65">
        <w:rPr>
          <w:b/>
        </w:rPr>
        <w:t>Pušu pienākumi un tiesības</w:t>
      </w:r>
    </w:p>
    <w:p w14:paraId="0C3155FB" w14:textId="77777777" w:rsidR="00AC16C1" w:rsidRPr="00940E65" w:rsidRDefault="00AC16C1" w:rsidP="00AC16C1">
      <w:pPr>
        <w:numPr>
          <w:ilvl w:val="1"/>
          <w:numId w:val="4"/>
        </w:numPr>
        <w:tabs>
          <w:tab w:val="clear" w:pos="420"/>
        </w:tabs>
        <w:suppressAutoHyphens w:val="0"/>
        <w:ind w:left="567" w:hanging="567"/>
        <w:jc w:val="both"/>
      </w:pPr>
      <w:r w:rsidRPr="00940E65">
        <w:t>Pasūtītājs informēs Izpildītāju par būvdarbu izpildes un būvdarbu izpildes uzraudzībai noslēgtajiem līgumiem.</w:t>
      </w:r>
    </w:p>
    <w:p w14:paraId="5BBC45AA" w14:textId="77777777" w:rsidR="00AC16C1" w:rsidRPr="00940E65" w:rsidRDefault="00AC16C1" w:rsidP="00AC16C1">
      <w:pPr>
        <w:numPr>
          <w:ilvl w:val="1"/>
          <w:numId w:val="4"/>
        </w:numPr>
        <w:tabs>
          <w:tab w:val="clear" w:pos="420"/>
        </w:tabs>
        <w:suppressAutoHyphens w:val="0"/>
        <w:spacing w:before="120"/>
        <w:ind w:left="567" w:hanging="567"/>
        <w:jc w:val="both"/>
      </w:pPr>
      <w:r w:rsidRPr="00940E65">
        <w:t xml:space="preserve">Izpildītājs Darba veikšanai nodrošina atbilstošas kompetences personālu un nodrošina to ar nepieciešamo aprīkojumu. </w:t>
      </w:r>
    </w:p>
    <w:p w14:paraId="60C96F89" w14:textId="77777777" w:rsidR="00AC16C1" w:rsidRPr="00940E65" w:rsidRDefault="00AC16C1" w:rsidP="00AC16C1">
      <w:pPr>
        <w:numPr>
          <w:ilvl w:val="1"/>
          <w:numId w:val="4"/>
        </w:numPr>
        <w:tabs>
          <w:tab w:val="clear" w:pos="420"/>
        </w:tabs>
        <w:suppressAutoHyphens w:val="0"/>
        <w:spacing w:before="120"/>
        <w:ind w:left="567" w:hanging="567"/>
        <w:jc w:val="both"/>
      </w:pPr>
      <w:r w:rsidRPr="00940E65">
        <w:t xml:space="preserve">Izpildītājs 3 </w:t>
      </w:r>
      <w:r w:rsidRPr="00940E65">
        <w:rPr>
          <w:i/>
        </w:rPr>
        <w:t>(trīs</w:t>
      </w:r>
      <w:r w:rsidRPr="00940E65">
        <w:t xml:space="preserve">) dienu laikā pēc būvdarbu uzsākšanas iesniedz Pasūtītājam dokumentus par atbildīgā </w:t>
      </w:r>
      <w:proofErr w:type="spellStart"/>
      <w:r w:rsidRPr="00940E65">
        <w:t>autoruzrauga</w:t>
      </w:r>
      <w:proofErr w:type="spellEnd"/>
      <w:r w:rsidRPr="00940E65">
        <w:t xml:space="preserve"> norīkošanu.</w:t>
      </w:r>
    </w:p>
    <w:p w14:paraId="2AC8C060" w14:textId="77777777" w:rsidR="00AC16C1" w:rsidRPr="00940E65" w:rsidRDefault="00AC16C1" w:rsidP="00AC16C1">
      <w:pPr>
        <w:numPr>
          <w:ilvl w:val="1"/>
          <w:numId w:val="4"/>
        </w:numPr>
        <w:tabs>
          <w:tab w:val="clear" w:pos="420"/>
        </w:tabs>
        <w:suppressAutoHyphens w:val="0"/>
        <w:spacing w:before="120"/>
        <w:ind w:left="567" w:hanging="567"/>
        <w:jc w:val="both"/>
      </w:pPr>
      <w:r w:rsidRPr="00940E65">
        <w:t>Izpildītājam ir jāizpilda Darbs un jāveic savi pienākumi ar vislielāko rūpību, efektivitāti un ekonomiju. Izpildītājam ir jāaizsargā Pasūtītāja intereses šī Līguma ietvaros attiecībās ar trešajām personām, kā arī jāievēro saņemtās informācijas konfidencialitāte.</w:t>
      </w:r>
    </w:p>
    <w:p w14:paraId="7288E209" w14:textId="4CE15783" w:rsidR="00AC16C1" w:rsidRPr="00940E65" w:rsidRDefault="00AC16C1" w:rsidP="00AC16C1">
      <w:pPr>
        <w:numPr>
          <w:ilvl w:val="1"/>
          <w:numId w:val="4"/>
        </w:numPr>
        <w:tabs>
          <w:tab w:val="clear" w:pos="420"/>
        </w:tabs>
        <w:suppressAutoHyphens w:val="0"/>
        <w:spacing w:before="120"/>
        <w:ind w:left="567" w:hanging="567"/>
        <w:jc w:val="both"/>
      </w:pPr>
      <w:r w:rsidRPr="00940E65">
        <w:t>Izpildītājam ir visas tiesības un pienākumi, kas noteikti Ministru kabineta 2014.gada 19.augusta noteikum</w:t>
      </w:r>
      <w:r w:rsidR="00E644C2">
        <w:t>os</w:t>
      </w:r>
      <w:r w:rsidRPr="00940E65">
        <w:t xml:space="preserve"> Nr. 500 „Vispārīgie būvnoteikumi”. Izpildītāja pienākums ir dokumentēt autoruzraudzības darbu, veikt regulārus ierakstus autoruzraudzības žurnālā, norādot risināto jautājumu, tā rašanās iemeslu, risināšanas iniciatoru un risinājumu.</w:t>
      </w:r>
    </w:p>
    <w:p w14:paraId="08547832" w14:textId="77777777" w:rsidR="00AC16C1" w:rsidRPr="00940E65" w:rsidRDefault="00AC16C1" w:rsidP="00AC16C1">
      <w:pPr>
        <w:numPr>
          <w:ilvl w:val="1"/>
          <w:numId w:val="4"/>
        </w:numPr>
        <w:tabs>
          <w:tab w:val="clear" w:pos="420"/>
        </w:tabs>
        <w:suppressAutoHyphens w:val="0"/>
        <w:spacing w:before="120"/>
        <w:ind w:left="567" w:hanging="567"/>
        <w:jc w:val="both"/>
      </w:pPr>
      <w:r w:rsidRPr="00940E65">
        <w:t xml:space="preserve">Pēc Pasūtītāja pieprasījuma Izpildītājam sadarbības ietvaros jānodrošina nepieciešamie labojumi būvprojektā. Izpildītājam ir pienākums nekavējoties informēt Pasūtītāju par nepieciešamību veikt labojumus būvprojektā, neatkarīgi no tā, vai šāda nepieciešamība radusies Izpildītāja kļūdas vai citu iemeslu dēļ. </w:t>
      </w:r>
    </w:p>
    <w:p w14:paraId="2B93D2A2" w14:textId="77777777" w:rsidR="00AC16C1" w:rsidRPr="00940E65" w:rsidRDefault="00AC16C1" w:rsidP="00AC16C1">
      <w:pPr>
        <w:numPr>
          <w:ilvl w:val="1"/>
          <w:numId w:val="4"/>
        </w:numPr>
        <w:tabs>
          <w:tab w:val="clear" w:pos="420"/>
        </w:tabs>
        <w:suppressAutoHyphens w:val="0"/>
        <w:spacing w:before="120"/>
        <w:ind w:left="567" w:hanging="567"/>
        <w:jc w:val="both"/>
      </w:pPr>
      <w:r w:rsidRPr="00940E65">
        <w:t>Kļūdas būvprojektā Izpildītājam jālabo uz sava rēķina.</w:t>
      </w:r>
    </w:p>
    <w:p w14:paraId="61045ABB" w14:textId="77777777" w:rsidR="00AC16C1" w:rsidRPr="00940E65" w:rsidRDefault="00AC16C1" w:rsidP="00AC16C1">
      <w:pPr>
        <w:numPr>
          <w:ilvl w:val="1"/>
          <w:numId w:val="4"/>
        </w:numPr>
        <w:tabs>
          <w:tab w:val="clear" w:pos="420"/>
        </w:tabs>
        <w:suppressAutoHyphens w:val="0"/>
        <w:spacing w:before="120"/>
        <w:ind w:left="567" w:hanging="567"/>
        <w:jc w:val="both"/>
      </w:pPr>
      <w:r w:rsidRPr="00940E65">
        <w:t>Pasūtītāja pienākums ir izsniegt Izpildītājam visu Darba veikšanai nepieciešamo informāciju un dokumentāciju.</w:t>
      </w:r>
    </w:p>
    <w:p w14:paraId="7F199584" w14:textId="77777777" w:rsidR="00AC16C1" w:rsidRPr="00940E65" w:rsidRDefault="00AC16C1" w:rsidP="00AC16C1">
      <w:pPr>
        <w:numPr>
          <w:ilvl w:val="1"/>
          <w:numId w:val="4"/>
        </w:numPr>
        <w:tabs>
          <w:tab w:val="clear" w:pos="420"/>
        </w:tabs>
        <w:suppressAutoHyphens w:val="0"/>
        <w:spacing w:before="120"/>
        <w:ind w:left="567" w:hanging="567"/>
        <w:jc w:val="both"/>
      </w:pPr>
      <w:r w:rsidRPr="00940E65">
        <w:t xml:space="preserve">Izpildītājam ir pienākums piedalīties </w:t>
      </w:r>
      <w:proofErr w:type="spellStart"/>
      <w:r w:rsidRPr="00940E65">
        <w:t>būvsapulcēs</w:t>
      </w:r>
      <w:proofErr w:type="spellEnd"/>
      <w:r w:rsidRPr="00940E65">
        <w:t>.</w:t>
      </w:r>
    </w:p>
    <w:p w14:paraId="1389E423" w14:textId="00636AE1" w:rsidR="00AC16C1" w:rsidRPr="00940E65" w:rsidRDefault="00AC16C1" w:rsidP="00AC16C1">
      <w:pPr>
        <w:numPr>
          <w:ilvl w:val="1"/>
          <w:numId w:val="4"/>
        </w:numPr>
        <w:tabs>
          <w:tab w:val="clear" w:pos="420"/>
        </w:tabs>
        <w:suppressAutoHyphens w:val="0"/>
        <w:spacing w:before="120"/>
        <w:ind w:left="567" w:hanging="567"/>
        <w:jc w:val="both"/>
      </w:pPr>
      <w:r w:rsidRPr="00940E65">
        <w:t xml:space="preserve">Ja kļūdu būvprojektā dēļ ir nepieciešamas izmaiņas izstrādātajā būvprojektā atbilstoši </w:t>
      </w:r>
      <w:r w:rsidR="00E644C2" w:rsidRPr="00940E65">
        <w:t>Ministru kabineta 2014.gada 19.augusta noteikum</w:t>
      </w:r>
      <w:r w:rsidR="00E644C2">
        <w:t>u</w:t>
      </w:r>
      <w:r w:rsidR="00E644C2" w:rsidRPr="00940E65">
        <w:t xml:space="preserve"> Nr. 500 „Vispārīgie būvnoteikumi”</w:t>
      </w:r>
      <w:r w:rsidRPr="00940E65">
        <w:t xml:space="preserve"> VI nodaļai, Izpildītājs atlīdzina Pasūtītājam izdevumus par veikto ekspertīzi, bet būvdarbu apturēšanas gadījumā atbilstoši </w:t>
      </w:r>
      <w:r w:rsidR="00E644C2" w:rsidRPr="00940E65">
        <w:t>Ministru kabineta 2014.gada 19.augusta noteikum</w:t>
      </w:r>
      <w:r w:rsidR="00E644C2">
        <w:t>u</w:t>
      </w:r>
      <w:r w:rsidR="00E644C2" w:rsidRPr="00940E65">
        <w:t xml:space="preserve"> Nr. 500 „Vispārīgie būvnoteikumi”</w:t>
      </w:r>
      <w:r w:rsidRPr="00940E65">
        <w:t xml:space="preserve"> 69.1.punktam Pasūtītājam ir tiesības pieprasīt no Izpildītāja līgumsodu 0,3 (</w:t>
      </w:r>
      <w:r w:rsidRPr="00940E65">
        <w:rPr>
          <w:i/>
        </w:rPr>
        <w:t>nulle</w:t>
      </w:r>
      <w:r w:rsidR="00E644C2">
        <w:rPr>
          <w:i/>
        </w:rPr>
        <w:t>,</w:t>
      </w:r>
      <w:r w:rsidRPr="00940E65">
        <w:rPr>
          <w:i/>
        </w:rPr>
        <w:t xml:space="preserve"> komats</w:t>
      </w:r>
      <w:r w:rsidR="00E644C2">
        <w:rPr>
          <w:i/>
        </w:rPr>
        <w:t>,</w:t>
      </w:r>
      <w:r w:rsidRPr="00940E65">
        <w:rPr>
          <w:i/>
        </w:rPr>
        <w:t xml:space="preserve"> trīs</w:t>
      </w:r>
      <w:r w:rsidRPr="00940E65">
        <w:t>) % apmērā no Līgumcenas, bet ne vairāk kā 10 (</w:t>
      </w:r>
      <w:r w:rsidRPr="00940E65">
        <w:rPr>
          <w:i/>
        </w:rPr>
        <w:t>desmit</w:t>
      </w:r>
      <w:r w:rsidRPr="00940E65">
        <w:t>) % no Līgumcenas bez PVN.</w:t>
      </w:r>
    </w:p>
    <w:p w14:paraId="2C01DDDF" w14:textId="77777777" w:rsidR="00AC16C1" w:rsidRPr="00940E65" w:rsidRDefault="00AC16C1" w:rsidP="00AC16C1">
      <w:pPr>
        <w:numPr>
          <w:ilvl w:val="1"/>
          <w:numId w:val="4"/>
        </w:numPr>
        <w:tabs>
          <w:tab w:val="clear" w:pos="420"/>
        </w:tabs>
        <w:suppressAutoHyphens w:val="0"/>
        <w:spacing w:before="120"/>
        <w:ind w:left="567" w:hanging="567"/>
        <w:jc w:val="both"/>
      </w:pPr>
      <w:r w:rsidRPr="00940E65">
        <w:t>Izpildītājam ir pienākums piedalīties defektu novēršanā (bez atlīdzības jāveic izmaiņas vai papildinājumi būvprojekta dokumentācijā) gadījumā, ja būves ekspluatācijas laikā, kamēr spēkā ir būvdarbu garantijas termiņš, atklājās defekti, kas radušies neatbilstošu risinājumu dēļ būvprojekta dokumentācijā. Strīda gadījumā Pasūtītājs, Izpildītājs un būvuzņēmējs pieaicina savstarpēji atzītu ekspertu vai ekspertu grupu - defekta cēloņa noteikšanai.</w:t>
      </w:r>
    </w:p>
    <w:p w14:paraId="5EA96E9B" w14:textId="77777777" w:rsidR="00AC16C1" w:rsidRPr="00940E65" w:rsidRDefault="00AC16C1" w:rsidP="00AC16C1">
      <w:pPr>
        <w:numPr>
          <w:ilvl w:val="0"/>
          <w:numId w:val="4"/>
        </w:numPr>
        <w:spacing w:before="240" w:after="120"/>
        <w:ind w:left="425" w:hanging="425"/>
        <w:jc w:val="both"/>
        <w:rPr>
          <w:b/>
        </w:rPr>
      </w:pPr>
      <w:r w:rsidRPr="00940E65">
        <w:rPr>
          <w:b/>
          <w:bCs/>
        </w:rPr>
        <w:t>Līguma izpildē iesaistītā personāla un apakšuzņēmēju nomaiņa</w:t>
      </w:r>
    </w:p>
    <w:p w14:paraId="25050BCC" w14:textId="77777777" w:rsidR="00AC16C1" w:rsidRPr="00940E65" w:rsidRDefault="00AC16C1" w:rsidP="00AC16C1">
      <w:pPr>
        <w:pStyle w:val="ListParagraph"/>
        <w:numPr>
          <w:ilvl w:val="1"/>
          <w:numId w:val="4"/>
        </w:numPr>
        <w:tabs>
          <w:tab w:val="clear" w:pos="420"/>
        </w:tabs>
        <w:suppressAutoHyphens w:val="0"/>
        <w:spacing w:line="240" w:lineRule="auto"/>
        <w:ind w:left="567" w:hanging="567"/>
        <w:jc w:val="both"/>
        <w:rPr>
          <w:lang w:val="lv-LV"/>
        </w:rPr>
      </w:pPr>
      <w:r w:rsidRPr="00940E65">
        <w:rPr>
          <w:lang w:val="lv-LV"/>
        </w:rPr>
        <w:t>Izpildītājs atbild par sava personāla un apakšuzņēmēju veikto darbu. Personāla un apakšuzņēmēju maiņa Izpildītājam jāsaskaņo ar Pasūtītāju. Piedāvātā personāla kvalifikācijai jāatbilst Iepirkuma dokumentācijā noteiktajam.</w:t>
      </w:r>
    </w:p>
    <w:p w14:paraId="4DA262A1" w14:textId="77777777" w:rsidR="00AC16C1" w:rsidRPr="00940E65" w:rsidRDefault="00AC16C1" w:rsidP="00AC16C1">
      <w:pPr>
        <w:numPr>
          <w:ilvl w:val="1"/>
          <w:numId w:val="4"/>
        </w:numPr>
        <w:tabs>
          <w:tab w:val="clear" w:pos="420"/>
        </w:tabs>
        <w:suppressAutoHyphens w:val="0"/>
        <w:ind w:left="567" w:hanging="567"/>
        <w:jc w:val="both"/>
      </w:pPr>
      <w:r w:rsidRPr="00940E65">
        <w:rPr>
          <w:szCs w:val="24"/>
        </w:rPr>
        <w:t xml:space="preserve">Uzsākot Līguma izpildi, Izpildītājs iesniedz pakalpojumu sniegšanā iesaistīto apakšuzņēmēju (ja tādus plānots iesaistīt) sarakstu, kurā norāda apakšuzņēmēja nosaukumu, kontaktinformāciju un to </w:t>
      </w:r>
      <w:proofErr w:type="spellStart"/>
      <w:r w:rsidRPr="00940E65">
        <w:rPr>
          <w:szCs w:val="24"/>
        </w:rPr>
        <w:t>pārstāvēttiesīgo</w:t>
      </w:r>
      <w:proofErr w:type="spellEnd"/>
      <w:r w:rsidRPr="00940E65">
        <w:rPr>
          <w:szCs w:val="24"/>
        </w:rPr>
        <w:t xml:space="preserve"> personu, ciktāl minētā informācija ir zināma. Sarakstā norāda arī Izpildītāja apakšuzņēmēju apakšuzņēmējus. Līguma izpildes laikā Izpildītājs paziņo Pasūtītājam par </w:t>
      </w:r>
      <w:r w:rsidRPr="00940E65">
        <w:rPr>
          <w:szCs w:val="24"/>
        </w:rPr>
        <w:lastRenderedPageBreak/>
        <w:t>jebkurām minētās informācijas izmaiņām, kā arī papildina sarakstu ar informāciju par apakšuzņēmēju, kas tiek vēlāk iesaistīts pakalpojuma sniegšanā.</w:t>
      </w:r>
    </w:p>
    <w:p w14:paraId="69AEAC4D" w14:textId="77777777" w:rsidR="00AC16C1" w:rsidRPr="00940E65" w:rsidRDefault="00AC16C1" w:rsidP="00AC16C1">
      <w:pPr>
        <w:numPr>
          <w:ilvl w:val="1"/>
          <w:numId w:val="4"/>
        </w:numPr>
        <w:tabs>
          <w:tab w:val="clear" w:pos="420"/>
        </w:tabs>
        <w:suppressAutoHyphens w:val="0"/>
        <w:ind w:left="567" w:hanging="567"/>
        <w:jc w:val="both"/>
      </w:pPr>
      <w:r w:rsidRPr="00940E65">
        <w:t>Ja Izpildītājs vēlas veikt tāda apakšuzņēmēja nomaiņu, kurš Izpildītāja piedāvājumā norādīts kā apakšuzņēmējs, kura veicamās darba daļas vērtība ir 10 (</w:t>
      </w:r>
      <w:r w:rsidRPr="00940E65">
        <w:rPr>
          <w:i/>
        </w:rPr>
        <w:t>desmit</w:t>
      </w:r>
      <w:r w:rsidRPr="00940E65">
        <w:t>) % no kopējās Līguma vērtības vai lielāka (ja Izpildītājs savā piedāvājumā nav balstījies uz šī apakšuzņēmēja iespējām, lai apliecinātu savas kvalifikācijas atbilstību nolikumā noteiktajām prasībām) vai jauna apakšuzņēmēja iesaistīšanu, kura veicamā darba daļa plānota 10 (</w:t>
      </w:r>
      <w:r w:rsidRPr="00940E65">
        <w:rPr>
          <w:i/>
        </w:rPr>
        <w:t>desmit</w:t>
      </w:r>
      <w:r w:rsidRPr="00940E65">
        <w:t>) % no kopējās Līguma vērtības vai lielāka, tad jāiesniedz rakstveida iesniegums Pasūtītājam un jāsaņem rakstveida piekrišana. Pasūtītājs piekrīt apakšuzņēmēja nomaiņai vai jauna apakšuzņēmēja iesaistīšanai, ja uz piedāvāto apakšuzņēmēju neattiecas Publisko iepirkumu likuma 42.panta pirmajā daļā minētie pretendentu izslēgšanas gadījumi.</w:t>
      </w:r>
    </w:p>
    <w:p w14:paraId="6D1502CD" w14:textId="77777777" w:rsidR="00AC16C1" w:rsidRPr="00940E65" w:rsidRDefault="00AC16C1" w:rsidP="00AC16C1">
      <w:pPr>
        <w:numPr>
          <w:ilvl w:val="1"/>
          <w:numId w:val="4"/>
        </w:numPr>
        <w:tabs>
          <w:tab w:val="clear" w:pos="420"/>
        </w:tabs>
        <w:suppressAutoHyphens w:val="0"/>
        <w:ind w:left="567" w:hanging="567"/>
        <w:jc w:val="both"/>
      </w:pPr>
      <w:r w:rsidRPr="00940E65">
        <w:t>Ja Izpildītājs vēlas veikt tāda personāla, kuru tas iesaistījis Līguma izpildē, par kuru sniedzis informāciju Pasūtītājam un kura kvalifikācijas atbilstību izvirzītajām prasībām Pasūtītājs ir vērtējis, kā arī apakšuzņēmējus, uz kuru iespējām iepirkuma procedūrā Izpildītājs balstījies, lai apliecinātu savas kvalifikācijas atbilstību paziņojumā par līgumu un iepirkuma procedūras dokumentos noteiktajām prasībām, tad jāiesniedz rakstveida iesniegums Pasūtītājam. Pasūtītājs piekrīt apakšuzņēmēja nomaiņai, ja:</w:t>
      </w:r>
    </w:p>
    <w:p w14:paraId="5A1963D7" w14:textId="77777777" w:rsidR="00AC16C1" w:rsidRPr="00940E65" w:rsidRDefault="00AC16C1" w:rsidP="00AC16C1">
      <w:pPr>
        <w:suppressAutoHyphens w:val="0"/>
        <w:ind w:left="1276" w:hanging="283"/>
        <w:jc w:val="both"/>
      </w:pPr>
      <w:r w:rsidRPr="00940E65">
        <w:t>1) piedāvātais apakšuzņēmējs atbilst tām paziņojumā par līgumu un Iepirkuma dokumentos noteiktajām prasībām, kas attiecas uz Izpildītāja apakšuzņēmējiem;</w:t>
      </w:r>
    </w:p>
    <w:p w14:paraId="1B180234" w14:textId="77777777" w:rsidR="00AC16C1" w:rsidRPr="00940E65" w:rsidRDefault="00AC16C1" w:rsidP="00AC16C1">
      <w:pPr>
        <w:suppressAutoHyphens w:val="0"/>
        <w:ind w:left="1276" w:hanging="283"/>
        <w:jc w:val="both"/>
      </w:pPr>
      <w:r w:rsidRPr="00940E65">
        <w:t>2) tiek nomainīts apakšuzņēmējs, uz kura iespējām Iepirkumā Izpildītājs balstījies, lai apliecinātu savas kvalifikācijas atbilstību paziņojumā par līgumu un Iepirkuma dokumentos noteiktajām prasībām, un piedāvātajam apakšuzņēmējam ir vismaz tāda pati kvalifikācija, uz kādu Izpildītājs atsaucies, apliecinot savu atbilstību Iepirkumā noteiktajām prasībām;</w:t>
      </w:r>
    </w:p>
    <w:p w14:paraId="0319493B" w14:textId="77777777" w:rsidR="00AC16C1" w:rsidRPr="00940E65" w:rsidRDefault="00AC16C1" w:rsidP="00AC16C1">
      <w:pPr>
        <w:suppressAutoHyphens w:val="0"/>
        <w:ind w:left="1276" w:hanging="283"/>
        <w:jc w:val="both"/>
      </w:pPr>
      <w:r w:rsidRPr="00940E65">
        <w:t>3)</w:t>
      </w:r>
      <w:r w:rsidRPr="00940E65">
        <w:tab/>
        <w:t>uz piedāvāto apakšuzņēmēju neattiecas Publisko iepirkumu likuma 42.panta pirmajā daļā minētie pretendentu izslēgšanas gadījumi;</w:t>
      </w:r>
    </w:p>
    <w:p w14:paraId="7C1B02B8" w14:textId="77777777" w:rsidR="00AC16C1" w:rsidRPr="00940E65" w:rsidRDefault="00AC16C1" w:rsidP="00AC16C1">
      <w:pPr>
        <w:suppressAutoHyphens w:val="0"/>
        <w:ind w:left="1276" w:hanging="283"/>
        <w:jc w:val="both"/>
      </w:pPr>
      <w:r w:rsidRPr="00940E65">
        <w:t>4)</w:t>
      </w:r>
      <w:r w:rsidRPr="00940E65">
        <w:tab/>
        <w:t>apakšuzņēmēja maiņas rezultātā netiek izdarīti tādi grozījumi Izpildītāja piedāvājumā, kuri, ja sākotnēji būtu tajā iekļauti, ietekmētu piedāvājuma izvēli atbilstoši Iepirkuma dokumentos noteiktajiem piedāvājuma izvērtēšanas kritērijiem.</w:t>
      </w:r>
    </w:p>
    <w:p w14:paraId="33444615" w14:textId="77777777" w:rsidR="00AC16C1" w:rsidRPr="00940E65" w:rsidRDefault="00AC16C1" w:rsidP="00AC16C1">
      <w:pPr>
        <w:numPr>
          <w:ilvl w:val="1"/>
          <w:numId w:val="4"/>
        </w:numPr>
        <w:tabs>
          <w:tab w:val="clear" w:pos="420"/>
        </w:tabs>
        <w:spacing w:before="60"/>
        <w:ind w:left="567" w:right="-1" w:hanging="567"/>
        <w:jc w:val="both"/>
      </w:pPr>
      <w:r w:rsidRPr="00940E65">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14:paraId="5D415A23" w14:textId="77777777" w:rsidR="00AC16C1" w:rsidRPr="00940E65" w:rsidRDefault="00AC16C1" w:rsidP="00AC16C1">
      <w:pPr>
        <w:numPr>
          <w:ilvl w:val="1"/>
          <w:numId w:val="4"/>
        </w:numPr>
        <w:tabs>
          <w:tab w:val="clear" w:pos="420"/>
        </w:tabs>
        <w:spacing w:before="60"/>
        <w:ind w:left="567" w:right="-1" w:hanging="567"/>
        <w:jc w:val="both"/>
      </w:pPr>
      <w:r w:rsidRPr="00940E65">
        <w:t>Pasūtītājs pieņem lēmumu atļaut vai atteikt Izpildītāja personāla vai apakšuzņēmēju nomaiņu vai jaunu apakšuzņēmēju iesaistīšanu Līguma izpildē iespējami īsā laikā, bet ne vēlāk kā 5 (</w:t>
      </w:r>
      <w:r w:rsidRPr="00940E65">
        <w:rPr>
          <w:i/>
        </w:rPr>
        <w:t>piecu</w:t>
      </w:r>
      <w:r w:rsidRPr="00940E65">
        <w:t>) darbdienu laikā pēc tam, kad saņēmis visu informāciju un dokumentus, kas nepieciešami lēmuma pieņemšanai saskaņā ar šīs Līguma nodaļas noteikumiem.</w:t>
      </w:r>
    </w:p>
    <w:p w14:paraId="2F2BC7A2" w14:textId="77777777" w:rsidR="00AC16C1" w:rsidRPr="00940E65" w:rsidRDefault="00AC16C1" w:rsidP="00AC16C1">
      <w:pPr>
        <w:numPr>
          <w:ilvl w:val="0"/>
          <w:numId w:val="4"/>
        </w:numPr>
        <w:suppressAutoHyphens w:val="0"/>
        <w:spacing w:before="240" w:after="120"/>
        <w:jc w:val="both"/>
        <w:rPr>
          <w:b/>
        </w:rPr>
      </w:pPr>
      <w:r w:rsidRPr="00940E65">
        <w:rPr>
          <w:b/>
        </w:rPr>
        <w:t>Strīdu izskatīšanas kārtība</w:t>
      </w:r>
    </w:p>
    <w:p w14:paraId="3D96604D" w14:textId="77777777" w:rsidR="00AC16C1" w:rsidRPr="00940E65" w:rsidRDefault="00AC16C1" w:rsidP="00AC16C1">
      <w:pPr>
        <w:numPr>
          <w:ilvl w:val="1"/>
          <w:numId w:val="4"/>
        </w:numPr>
        <w:tabs>
          <w:tab w:val="clear" w:pos="420"/>
        </w:tabs>
        <w:suppressAutoHyphens w:val="0"/>
        <w:spacing w:after="120"/>
        <w:ind w:left="567" w:hanging="567"/>
        <w:jc w:val="both"/>
      </w:pPr>
      <w:r w:rsidRPr="00940E65">
        <w:t>Strīdus risina sarunu ceļā, bet, ja Puses nepanāk vienošanos sarunu ceļā, strīdus izskata Latvijas Republikas tiesā saskaņā ar Latvija Republikas normatīvajiem aktiem.</w:t>
      </w:r>
    </w:p>
    <w:p w14:paraId="4CF94AA1" w14:textId="77777777" w:rsidR="00AC16C1" w:rsidRPr="00940E65" w:rsidRDefault="00AC16C1" w:rsidP="00AC16C1">
      <w:pPr>
        <w:numPr>
          <w:ilvl w:val="0"/>
          <w:numId w:val="4"/>
        </w:numPr>
        <w:suppressAutoHyphens w:val="0"/>
        <w:spacing w:before="240" w:after="120"/>
        <w:jc w:val="both"/>
        <w:rPr>
          <w:b/>
        </w:rPr>
      </w:pPr>
      <w:r w:rsidRPr="00940E65">
        <w:rPr>
          <w:b/>
        </w:rPr>
        <w:t>Līguma darbības izbeigšana</w:t>
      </w:r>
    </w:p>
    <w:p w14:paraId="12B0E878" w14:textId="77777777" w:rsidR="00AC16C1" w:rsidRPr="00940E65" w:rsidRDefault="00AC16C1" w:rsidP="00AC16C1">
      <w:pPr>
        <w:numPr>
          <w:ilvl w:val="1"/>
          <w:numId w:val="4"/>
        </w:numPr>
        <w:tabs>
          <w:tab w:val="clear" w:pos="420"/>
        </w:tabs>
        <w:suppressAutoHyphens w:val="0"/>
        <w:ind w:left="567" w:hanging="567"/>
        <w:jc w:val="both"/>
      </w:pPr>
      <w:r w:rsidRPr="00940E65">
        <w:t>Līguma darbība tiek pārtraukta vai izbeigta, ja tiek pārtraukti būvdarbi vai Pasūtītājam ir nepietiekams finansējums Darba apmaksai.</w:t>
      </w:r>
    </w:p>
    <w:p w14:paraId="27D2FF3D" w14:textId="77777777" w:rsidR="00AC16C1" w:rsidRPr="00940E65" w:rsidRDefault="00AC16C1" w:rsidP="00AC16C1">
      <w:pPr>
        <w:numPr>
          <w:ilvl w:val="1"/>
          <w:numId w:val="4"/>
        </w:numPr>
        <w:tabs>
          <w:tab w:val="clear" w:pos="420"/>
        </w:tabs>
        <w:suppressAutoHyphens w:val="0"/>
        <w:spacing w:before="120"/>
        <w:ind w:left="567" w:hanging="567"/>
        <w:jc w:val="both"/>
      </w:pPr>
      <w:r w:rsidRPr="00940E65">
        <w:t xml:space="preserve">Pasūtītājs rakstiski informē Izpildītāju par Līguma darbības pārtraukšanu vai izbeigšanu 30 </w:t>
      </w:r>
      <w:r w:rsidRPr="00940E65">
        <w:rPr>
          <w:i/>
        </w:rPr>
        <w:t>(trīsdesmit</w:t>
      </w:r>
      <w:r w:rsidRPr="00940E65">
        <w:t>) dienas iepriekš.</w:t>
      </w:r>
    </w:p>
    <w:p w14:paraId="6496911D" w14:textId="77777777" w:rsidR="00AC16C1" w:rsidRPr="00940E65" w:rsidRDefault="00AC16C1" w:rsidP="00AC16C1">
      <w:pPr>
        <w:numPr>
          <w:ilvl w:val="1"/>
          <w:numId w:val="4"/>
        </w:numPr>
        <w:tabs>
          <w:tab w:val="clear" w:pos="420"/>
        </w:tabs>
        <w:suppressAutoHyphens w:val="0"/>
        <w:spacing w:before="120" w:after="120"/>
        <w:ind w:left="567" w:hanging="567"/>
        <w:jc w:val="both"/>
      </w:pPr>
      <w:r w:rsidRPr="00940E65">
        <w:t>Izpildītājs, 30 (</w:t>
      </w:r>
      <w:r w:rsidRPr="00940E65">
        <w:rPr>
          <w:i/>
        </w:rPr>
        <w:t>trīsdesmit</w:t>
      </w:r>
      <w:r w:rsidRPr="00940E65">
        <w:t>) dienas iepriekš rakstiski brīdinot Pasūtītāju, var prasīt izbeigt Līguma darbību, ja Pasūtītājs Izpildītājam savlaicīgi nemaksā Līgumā paredzētos maksājumus un 45 (</w:t>
      </w:r>
      <w:r w:rsidRPr="00940E65">
        <w:rPr>
          <w:i/>
        </w:rPr>
        <w:t>četrdesmit piecu</w:t>
      </w:r>
      <w:r w:rsidRPr="00940E65">
        <w:t>) dienu laikā pēc rakstiska brīdinājuma par nokavēto maksājumu neuzsāk sarunas ar Izpildītāju.</w:t>
      </w:r>
    </w:p>
    <w:p w14:paraId="7F49EA16" w14:textId="77777777" w:rsidR="00AC16C1" w:rsidRPr="00940E65" w:rsidRDefault="00AC16C1" w:rsidP="00AC16C1">
      <w:pPr>
        <w:numPr>
          <w:ilvl w:val="1"/>
          <w:numId w:val="4"/>
        </w:numPr>
        <w:tabs>
          <w:tab w:val="clear" w:pos="420"/>
        </w:tabs>
        <w:spacing w:before="120" w:after="120"/>
        <w:ind w:left="567" w:right="-1" w:hanging="567"/>
        <w:jc w:val="both"/>
      </w:pPr>
      <w:r w:rsidRPr="00940E65">
        <w:lastRenderedPageBreak/>
        <w:t>Pasūtītājam ir tiesības vienpusēji atkāpties no Līguma ja:</w:t>
      </w:r>
    </w:p>
    <w:p w14:paraId="51A6450D" w14:textId="77777777" w:rsidR="00AC16C1" w:rsidRPr="00940E65" w:rsidRDefault="00AC16C1" w:rsidP="00AC16C1">
      <w:pPr>
        <w:pStyle w:val="ListParagraph"/>
        <w:numPr>
          <w:ilvl w:val="2"/>
          <w:numId w:val="4"/>
        </w:numPr>
        <w:tabs>
          <w:tab w:val="clear" w:pos="720"/>
          <w:tab w:val="num" w:pos="1276"/>
        </w:tabs>
        <w:spacing w:before="120" w:after="120" w:line="240" w:lineRule="auto"/>
        <w:ind w:left="1276" w:hanging="567"/>
        <w:jc w:val="both"/>
        <w:rPr>
          <w:szCs w:val="20"/>
          <w:lang w:val="lv-LV" w:eastAsia="ar-SA"/>
        </w:rPr>
      </w:pPr>
      <w:r w:rsidRPr="00940E65">
        <w:rPr>
          <w:szCs w:val="20"/>
          <w:lang w:val="lv-LV" w:eastAsia="ar-SA"/>
        </w:rPr>
        <w:t>ir pasludināts Izpildītāja maksātnespējas process, apturēta vai pārtraukta tā saimnieciskā darbība, uzsākta tiesvedība par Izpildītāja bankrotu vai tiek konstatēts, ka līdz Līguma izpildes beigu termiņam Izpildītājs būs likvidēts;</w:t>
      </w:r>
    </w:p>
    <w:p w14:paraId="72B3F5B0" w14:textId="77777777" w:rsidR="00AC16C1" w:rsidRPr="00940E65" w:rsidRDefault="00AC16C1" w:rsidP="00AC16C1">
      <w:pPr>
        <w:pStyle w:val="ListParagraph"/>
        <w:numPr>
          <w:ilvl w:val="2"/>
          <w:numId w:val="4"/>
        </w:numPr>
        <w:tabs>
          <w:tab w:val="clear" w:pos="720"/>
          <w:tab w:val="num" w:pos="1276"/>
        </w:tabs>
        <w:spacing w:before="120" w:after="120" w:line="240" w:lineRule="auto"/>
        <w:ind w:left="1276" w:hanging="567"/>
        <w:jc w:val="both"/>
        <w:rPr>
          <w:szCs w:val="20"/>
          <w:lang w:val="lv-LV" w:eastAsia="ar-SA"/>
        </w:rPr>
      </w:pPr>
      <w:r w:rsidRPr="00940E65">
        <w:rPr>
          <w:szCs w:val="20"/>
          <w:lang w:val="lv-LV" w:eastAsia="ar-SA"/>
        </w:rPr>
        <w:t>Izpildītājs neveic personāla nomaiņu Līguma 7.sadaļā paredzētajā kārtībā un 10 (</w:t>
      </w:r>
      <w:r w:rsidRPr="00940E65">
        <w:rPr>
          <w:i/>
          <w:szCs w:val="20"/>
          <w:lang w:val="lv-LV" w:eastAsia="ar-SA"/>
        </w:rPr>
        <w:t>desmit</w:t>
      </w:r>
      <w:r w:rsidRPr="00940E65">
        <w:rPr>
          <w:szCs w:val="20"/>
          <w:lang w:val="lv-LV" w:eastAsia="ar-SA"/>
        </w:rPr>
        <w:t>) darbdienu laikā no Pasūtītāja brīdinājuma saņemšanas nav novērsis šo Līguma pārkāpumu;</w:t>
      </w:r>
    </w:p>
    <w:p w14:paraId="7CE54557" w14:textId="77777777" w:rsidR="00AC16C1" w:rsidRPr="00940E65" w:rsidRDefault="00AC16C1" w:rsidP="00AC16C1">
      <w:pPr>
        <w:pStyle w:val="ListParagraph"/>
        <w:numPr>
          <w:ilvl w:val="2"/>
          <w:numId w:val="4"/>
        </w:numPr>
        <w:tabs>
          <w:tab w:val="clear" w:pos="720"/>
          <w:tab w:val="num" w:pos="1276"/>
        </w:tabs>
        <w:spacing w:before="120" w:after="120" w:line="240" w:lineRule="auto"/>
        <w:ind w:left="1276" w:hanging="567"/>
        <w:jc w:val="both"/>
        <w:rPr>
          <w:szCs w:val="20"/>
          <w:lang w:val="lv-LV" w:eastAsia="ar-SA"/>
        </w:rPr>
      </w:pPr>
      <w:r w:rsidRPr="00940E65">
        <w:rPr>
          <w:szCs w:val="20"/>
          <w:lang w:val="lv-LV" w:eastAsia="ar-SA"/>
        </w:rPr>
        <w:t>ārvalstu finanšu instrumenta vadībā iesaistīta iestāde ir noteikusi ārvalstu finanšu instrumenta finansēta projekta izmaksu korekciju 25 (</w:t>
      </w:r>
      <w:r w:rsidRPr="00940E65">
        <w:rPr>
          <w:i/>
          <w:szCs w:val="20"/>
          <w:lang w:val="lv-LV" w:eastAsia="ar-SA"/>
        </w:rPr>
        <w:t>divdesmit piecu</w:t>
      </w:r>
      <w:r w:rsidRPr="00940E65">
        <w:rPr>
          <w:szCs w:val="20"/>
          <w:lang w:val="lv-LV" w:eastAsia="ar-SA"/>
        </w:rPr>
        <w:t>) % vai lielākā apmērā no līgumcenas, un minētā korekcija izriet no Izpildītāja pieļauta Līguma pārkāpuma;</w:t>
      </w:r>
    </w:p>
    <w:p w14:paraId="02A203BC" w14:textId="77777777" w:rsidR="00AC16C1" w:rsidRPr="00940E65" w:rsidRDefault="00AC16C1" w:rsidP="00AC16C1">
      <w:pPr>
        <w:pStyle w:val="ListParagraph"/>
        <w:numPr>
          <w:ilvl w:val="2"/>
          <w:numId w:val="4"/>
        </w:numPr>
        <w:tabs>
          <w:tab w:val="clear" w:pos="720"/>
          <w:tab w:val="num" w:pos="1276"/>
        </w:tabs>
        <w:spacing w:before="120" w:after="120" w:line="240" w:lineRule="auto"/>
        <w:ind w:left="1276" w:hanging="567"/>
        <w:jc w:val="both"/>
        <w:rPr>
          <w:szCs w:val="20"/>
          <w:lang w:val="lv-LV" w:eastAsia="ar-SA"/>
        </w:rPr>
      </w:pPr>
      <w:r w:rsidRPr="00940E65">
        <w:rPr>
          <w:szCs w:val="20"/>
          <w:lang w:val="lv-LV" w:eastAsia="ar-SA"/>
        </w:rPr>
        <w:t>ārvalstu finanšu instrumenta vadībā iesaistītā iestāde ir konstatējusi normatīvo aktu pārkāpumus Līguma noslēgšanas vai izpildes gaitā, un to dēļ tiek piemērota Līguma izmaksu korekcija 100 (</w:t>
      </w:r>
      <w:r w:rsidRPr="00940E65">
        <w:rPr>
          <w:i/>
          <w:szCs w:val="20"/>
          <w:lang w:val="lv-LV" w:eastAsia="ar-SA"/>
        </w:rPr>
        <w:t>simts</w:t>
      </w:r>
      <w:r w:rsidRPr="00940E65">
        <w:rPr>
          <w:szCs w:val="20"/>
          <w:lang w:val="lv-LV" w:eastAsia="ar-SA"/>
        </w:rPr>
        <w:t>) % apmērā;</w:t>
      </w:r>
    </w:p>
    <w:p w14:paraId="1C75F0C8" w14:textId="77777777" w:rsidR="00AC16C1" w:rsidRPr="00940E65" w:rsidRDefault="00AC16C1" w:rsidP="00AC16C1">
      <w:pPr>
        <w:pStyle w:val="ListParagraph"/>
        <w:numPr>
          <w:ilvl w:val="2"/>
          <w:numId w:val="4"/>
        </w:numPr>
        <w:tabs>
          <w:tab w:val="clear" w:pos="720"/>
          <w:tab w:val="num" w:pos="1276"/>
        </w:tabs>
        <w:spacing w:before="120" w:after="120" w:line="240" w:lineRule="auto"/>
        <w:ind w:left="1276" w:hanging="567"/>
        <w:jc w:val="both"/>
        <w:rPr>
          <w:szCs w:val="20"/>
          <w:lang w:val="lv-LV" w:eastAsia="ar-SA"/>
        </w:rPr>
      </w:pPr>
      <w:r w:rsidRPr="00940E65">
        <w:rPr>
          <w:szCs w:val="20"/>
          <w:lang w:val="lv-LV" w:eastAsia="ar-SA"/>
        </w:rPr>
        <w:t>Izpildītājs Līguma noslēgšanas vai Līguma izpildes laikā sniedzis nepatiesas ziņas vai apliecinājumus;</w:t>
      </w:r>
    </w:p>
    <w:p w14:paraId="73A2E5F2" w14:textId="77777777" w:rsidR="00AC16C1" w:rsidRPr="00940E65" w:rsidRDefault="00AC16C1" w:rsidP="00AC16C1">
      <w:pPr>
        <w:pStyle w:val="ListParagraph"/>
        <w:numPr>
          <w:ilvl w:val="2"/>
          <w:numId w:val="4"/>
        </w:numPr>
        <w:tabs>
          <w:tab w:val="clear" w:pos="720"/>
          <w:tab w:val="num" w:pos="1276"/>
        </w:tabs>
        <w:spacing w:before="120" w:after="120" w:line="240" w:lineRule="auto"/>
        <w:ind w:left="1276" w:hanging="567"/>
        <w:jc w:val="both"/>
        <w:rPr>
          <w:szCs w:val="20"/>
          <w:lang w:val="lv-LV" w:eastAsia="ar-SA"/>
        </w:rPr>
      </w:pPr>
      <w:r w:rsidRPr="00940E65">
        <w:rPr>
          <w:szCs w:val="20"/>
          <w:lang w:val="lv-LV" w:eastAsia="ar-SA"/>
        </w:rPr>
        <w:t>Izpildītājs Līguma noslēgšanas vai Līguma izpildes laikā pārkāpis normatīvo aktu attiecībā uz Līguma slēgšanu vai izpildi;</w:t>
      </w:r>
    </w:p>
    <w:p w14:paraId="4B5C7C16" w14:textId="77777777" w:rsidR="00AC16C1" w:rsidRPr="00940E65" w:rsidRDefault="00AC16C1" w:rsidP="00AC16C1">
      <w:pPr>
        <w:pStyle w:val="ListParagraph"/>
        <w:numPr>
          <w:ilvl w:val="2"/>
          <w:numId w:val="4"/>
        </w:numPr>
        <w:tabs>
          <w:tab w:val="clear" w:pos="720"/>
          <w:tab w:val="num" w:pos="1276"/>
        </w:tabs>
        <w:spacing w:before="120" w:after="120" w:line="240" w:lineRule="auto"/>
        <w:ind w:left="1276" w:hanging="567"/>
        <w:jc w:val="both"/>
        <w:rPr>
          <w:szCs w:val="20"/>
          <w:lang w:val="lv-LV" w:eastAsia="ar-SA"/>
        </w:rPr>
      </w:pPr>
      <w:r w:rsidRPr="00940E65">
        <w:rPr>
          <w:szCs w:val="20"/>
          <w:lang w:val="lv-LV" w:eastAsia="ar-SA"/>
        </w:rPr>
        <w:t>Izpildītājs Pasūtītājam nodarījis zaudējumus;</w:t>
      </w:r>
    </w:p>
    <w:p w14:paraId="3611258B" w14:textId="77777777" w:rsidR="00AC16C1" w:rsidRPr="00940E65" w:rsidRDefault="00AC16C1" w:rsidP="00AC16C1">
      <w:pPr>
        <w:pStyle w:val="ListParagraph"/>
        <w:numPr>
          <w:ilvl w:val="2"/>
          <w:numId w:val="4"/>
        </w:numPr>
        <w:tabs>
          <w:tab w:val="clear" w:pos="720"/>
          <w:tab w:val="num" w:pos="1276"/>
        </w:tabs>
        <w:spacing w:before="120" w:after="120" w:line="240" w:lineRule="auto"/>
        <w:ind w:left="1276" w:hanging="567"/>
        <w:jc w:val="both"/>
        <w:rPr>
          <w:szCs w:val="20"/>
          <w:lang w:val="lv-LV" w:eastAsia="ar-SA"/>
        </w:rPr>
      </w:pPr>
      <w:r w:rsidRPr="00940E65">
        <w:rPr>
          <w:szCs w:val="20"/>
          <w:lang w:val="lv-LV" w:eastAsia="ar-SA"/>
        </w:rPr>
        <w:t>Izpildītājs ir patvaļīgi pārtraucis Līguma izpildi, tai skaitā Izpildītājs nav sasniedzams juridiskajā adresē vai deklarētajā dzīvesvietas adresē;</w:t>
      </w:r>
    </w:p>
    <w:p w14:paraId="4ADA1F43" w14:textId="77777777" w:rsidR="00AC16C1" w:rsidRPr="00940E65" w:rsidRDefault="00AC16C1" w:rsidP="00AC16C1">
      <w:pPr>
        <w:pStyle w:val="ListParagraph"/>
        <w:numPr>
          <w:ilvl w:val="2"/>
          <w:numId w:val="4"/>
        </w:numPr>
        <w:tabs>
          <w:tab w:val="clear" w:pos="720"/>
          <w:tab w:val="num" w:pos="1276"/>
        </w:tabs>
        <w:spacing w:before="120" w:after="120" w:line="240" w:lineRule="auto"/>
        <w:ind w:left="1276" w:hanging="567"/>
        <w:jc w:val="both"/>
        <w:rPr>
          <w:szCs w:val="20"/>
          <w:lang w:val="lv-LV" w:eastAsia="ar-SA"/>
        </w:rPr>
      </w:pPr>
      <w:r w:rsidRPr="00940E65">
        <w:rPr>
          <w:szCs w:val="20"/>
          <w:lang w:val="lv-LV" w:eastAsia="ar-SA"/>
        </w:rPr>
        <w:t>Ministru kabinets ir pieņēmis lēmumu par attiecīgā struktūrfondu plānošanas perioda prioritāšu pārskatīšanu, un tādēļ Pasūtītājam ir būtiski samazināts vai atcelts ārvalstu finanšu instrumenta finansējums, ko Pasūtītājs gribēja izmantot Līgumā paredzēto maksājuma saistību segšanai;</w:t>
      </w:r>
    </w:p>
    <w:p w14:paraId="2CEE180B" w14:textId="77777777" w:rsidR="00AC16C1" w:rsidRPr="00940E65" w:rsidRDefault="00AC16C1" w:rsidP="00AC16C1">
      <w:pPr>
        <w:pStyle w:val="ListParagraph"/>
        <w:numPr>
          <w:ilvl w:val="2"/>
          <w:numId w:val="4"/>
        </w:numPr>
        <w:tabs>
          <w:tab w:val="clear" w:pos="720"/>
          <w:tab w:val="num" w:pos="1276"/>
        </w:tabs>
        <w:spacing w:before="120" w:after="120" w:line="240" w:lineRule="auto"/>
        <w:ind w:left="1276" w:right="-1" w:hanging="567"/>
        <w:contextualSpacing/>
        <w:jc w:val="both"/>
        <w:rPr>
          <w:szCs w:val="20"/>
          <w:lang w:val="lv-LV" w:eastAsia="ar-SA"/>
        </w:rPr>
      </w:pPr>
      <w:r w:rsidRPr="00940E65">
        <w:rPr>
          <w:szCs w:val="20"/>
          <w:lang w:val="lv-LV" w:eastAsia="ar-SA"/>
        </w:rPr>
        <w:t>Izpildītājs pārkāpj vai nepilda citu būtisku Līgumā paredzētu pienākumu.</w:t>
      </w:r>
    </w:p>
    <w:p w14:paraId="451D3B82" w14:textId="77777777" w:rsidR="00AC16C1" w:rsidRPr="00940E65" w:rsidRDefault="00AC16C1" w:rsidP="00AC16C1">
      <w:pPr>
        <w:numPr>
          <w:ilvl w:val="1"/>
          <w:numId w:val="4"/>
        </w:numPr>
        <w:spacing w:before="120" w:after="120"/>
        <w:ind w:right="-1"/>
        <w:jc w:val="both"/>
      </w:pPr>
      <w:r w:rsidRPr="00940E65">
        <w:t>Līguma darbība tiek izbeigta, ja turpmāku Līguma izpildi padara neiespējamu vai apgrūtina nepārvarama vara.</w:t>
      </w:r>
    </w:p>
    <w:p w14:paraId="0D80B815" w14:textId="77777777" w:rsidR="00AC16C1" w:rsidRPr="00940E65" w:rsidRDefault="00AC16C1" w:rsidP="00AC16C1">
      <w:pPr>
        <w:numPr>
          <w:ilvl w:val="1"/>
          <w:numId w:val="4"/>
        </w:numPr>
        <w:spacing w:before="120" w:after="120"/>
        <w:ind w:right="-1"/>
        <w:jc w:val="both"/>
      </w:pPr>
      <w:r w:rsidRPr="00940E65">
        <w:t>Abpusēji rakstiski vienojoties, Puses var izbeigt Līgumu kāda cita iemesla dēļ.</w:t>
      </w:r>
    </w:p>
    <w:p w14:paraId="1E22A68B" w14:textId="77777777" w:rsidR="00AC16C1" w:rsidRPr="00940E65" w:rsidRDefault="00AC16C1" w:rsidP="00AC16C1">
      <w:pPr>
        <w:numPr>
          <w:ilvl w:val="0"/>
          <w:numId w:val="4"/>
        </w:numPr>
        <w:suppressAutoHyphens w:val="0"/>
        <w:spacing w:before="240" w:after="120"/>
        <w:jc w:val="both"/>
        <w:rPr>
          <w:b/>
        </w:rPr>
      </w:pPr>
      <w:r w:rsidRPr="00940E65">
        <w:rPr>
          <w:b/>
        </w:rPr>
        <w:t>Nepārvarama vara</w:t>
      </w:r>
    </w:p>
    <w:p w14:paraId="325BDCB7" w14:textId="77777777" w:rsidR="00AC16C1" w:rsidRPr="00940E65" w:rsidRDefault="00AC16C1" w:rsidP="00AC16C1">
      <w:pPr>
        <w:numPr>
          <w:ilvl w:val="1"/>
          <w:numId w:val="4"/>
        </w:numPr>
        <w:tabs>
          <w:tab w:val="clear" w:pos="420"/>
        </w:tabs>
        <w:suppressAutoHyphens w:val="0"/>
        <w:ind w:left="567" w:hanging="567"/>
        <w:jc w:val="both"/>
      </w:pPr>
      <w:r w:rsidRPr="00940E65">
        <w:t xml:space="preserve">Puses ir atbrīvotas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t.sk., dabas katastrofas, citas katastrofas un avārijas, epidēmijas, karadarbība, streiki, iekšējie nemieri, blokādes, kā arī tāda ārējo normatīvo aktu pieņemšana, kas liedz abām Pusēm vai vienai Pusei turpināt līgumsaistību izpildi, un citi apstākļi, kas neiekļaujas Pušu iespējamās kontroles robežās. </w:t>
      </w:r>
    </w:p>
    <w:p w14:paraId="092F377E" w14:textId="77777777" w:rsidR="00AC16C1" w:rsidRDefault="00AC16C1" w:rsidP="00AC16C1">
      <w:pPr>
        <w:numPr>
          <w:ilvl w:val="1"/>
          <w:numId w:val="4"/>
        </w:numPr>
        <w:tabs>
          <w:tab w:val="clear" w:pos="420"/>
        </w:tabs>
        <w:suppressAutoHyphens w:val="0"/>
        <w:spacing w:before="120" w:after="120"/>
        <w:ind w:left="567" w:hanging="567"/>
        <w:jc w:val="both"/>
      </w:pPr>
      <w:r w:rsidRPr="00940E65">
        <w:t xml:space="preserve">Pusei, kura atsaucas uz nepārvaramas varas vai ārkārtēja rakstura apstākļu darbību, nekavējoties par šādiem apstākļiem </w:t>
      </w:r>
      <w:proofErr w:type="spellStart"/>
      <w:r w:rsidRPr="00940E65">
        <w:t>rakstveidā</w:t>
      </w:r>
      <w:proofErr w:type="spellEnd"/>
      <w:r w:rsidRPr="00940E65">
        <w:t xml:space="preserve"> jāziņo otrai Pusei. Ziņojumā jānorāda, kādā termiņā pēc viņa ieskata ir iespējama un paredzama viņa līgumsaistību izpilde, un pēc otras Puses pieprasījuma jāiesniedz kompetentas institūcijas izsniegta izziņa, kas satur nepārvaramas varas vai ārkārtējo apstākļu darbības apstiprinājumu un to raksturojumu. Ja Līguma turpmāka izpilde nav iespējama, Puses sastāda Darba nodošanas - pieņemšanas aktu un Izpildītājs saņem samaksu par visu līdz tam kvalitatīvi paveikto Darba daļu. </w:t>
      </w:r>
    </w:p>
    <w:p w14:paraId="73709C89" w14:textId="77777777" w:rsidR="00E644C2" w:rsidRPr="00940E65" w:rsidRDefault="00E644C2" w:rsidP="00E644C2">
      <w:pPr>
        <w:suppressAutoHyphens w:val="0"/>
        <w:spacing w:before="120" w:after="120"/>
        <w:ind w:left="567"/>
        <w:jc w:val="both"/>
      </w:pPr>
    </w:p>
    <w:p w14:paraId="423223B6" w14:textId="77777777" w:rsidR="00AC16C1" w:rsidRPr="00940E65" w:rsidRDefault="00AC16C1" w:rsidP="00AC16C1">
      <w:pPr>
        <w:numPr>
          <w:ilvl w:val="0"/>
          <w:numId w:val="4"/>
        </w:numPr>
        <w:suppressAutoHyphens w:val="0"/>
        <w:spacing w:before="240" w:after="120"/>
        <w:jc w:val="both"/>
        <w:rPr>
          <w:b/>
        </w:rPr>
      </w:pPr>
      <w:r w:rsidRPr="00940E65">
        <w:rPr>
          <w:b/>
        </w:rPr>
        <w:lastRenderedPageBreak/>
        <w:t>Papildus noteikumi</w:t>
      </w:r>
    </w:p>
    <w:p w14:paraId="1890E558" w14:textId="77777777" w:rsidR="00AC16C1" w:rsidRPr="00940E65" w:rsidRDefault="00AC16C1" w:rsidP="00AC16C1">
      <w:pPr>
        <w:numPr>
          <w:ilvl w:val="1"/>
          <w:numId w:val="4"/>
        </w:numPr>
        <w:tabs>
          <w:tab w:val="clear" w:pos="420"/>
        </w:tabs>
        <w:suppressAutoHyphens w:val="0"/>
        <w:ind w:left="567" w:hanging="567"/>
        <w:jc w:val="both"/>
      </w:pPr>
      <w:r w:rsidRPr="00940E65">
        <w:t xml:space="preserve">Līguma grozījumi tiek noformēti </w:t>
      </w:r>
      <w:proofErr w:type="spellStart"/>
      <w:r w:rsidRPr="00940E65">
        <w:t>rakstveidā</w:t>
      </w:r>
      <w:proofErr w:type="spellEnd"/>
      <w:r w:rsidRPr="00940E65">
        <w:t xml:space="preserve"> Pasūtītājam un Izpildītājam vienojoties.</w:t>
      </w:r>
    </w:p>
    <w:p w14:paraId="09BB2DD9" w14:textId="77777777" w:rsidR="00AC16C1" w:rsidRPr="00940E65" w:rsidRDefault="00AC16C1" w:rsidP="00AC16C1">
      <w:pPr>
        <w:numPr>
          <w:ilvl w:val="1"/>
          <w:numId w:val="4"/>
        </w:numPr>
        <w:tabs>
          <w:tab w:val="clear" w:pos="420"/>
        </w:tabs>
        <w:suppressAutoHyphens w:val="0"/>
        <w:spacing w:before="120"/>
        <w:ind w:left="567" w:hanging="567"/>
        <w:jc w:val="both"/>
      </w:pPr>
      <w:r w:rsidRPr="00940E65">
        <w:t>Līgumam ir pievienoti zemāk uzskaitītie dokumenti, kas ir Līguma pielikumi un neatņemama sastāvdaļa:</w:t>
      </w:r>
    </w:p>
    <w:p w14:paraId="6CDA9F3E" w14:textId="77777777" w:rsidR="00AC16C1" w:rsidRPr="00940E65" w:rsidRDefault="00AC16C1" w:rsidP="00AC16C1">
      <w:pPr>
        <w:spacing w:before="120"/>
        <w:ind w:left="720"/>
        <w:jc w:val="both"/>
      </w:pPr>
      <w:r w:rsidRPr="00940E65">
        <w:t>1. pielikums „Finanšu piedāvājums”</w:t>
      </w:r>
    </w:p>
    <w:p w14:paraId="1A1BFD52" w14:textId="77777777" w:rsidR="00AC16C1" w:rsidRPr="00940E65" w:rsidRDefault="00AC16C1" w:rsidP="00AC16C1">
      <w:pPr>
        <w:numPr>
          <w:ilvl w:val="1"/>
          <w:numId w:val="4"/>
        </w:numPr>
        <w:tabs>
          <w:tab w:val="clear" w:pos="420"/>
        </w:tabs>
        <w:suppressAutoHyphens w:val="0"/>
        <w:spacing w:before="120" w:after="120"/>
        <w:ind w:left="567" w:hanging="567"/>
        <w:jc w:val="both"/>
      </w:pPr>
      <w:r w:rsidRPr="00940E65">
        <w:t xml:space="preserve">Līgums sastādīts divos eksemplāros uz </w:t>
      </w:r>
      <w:r w:rsidR="00296950">
        <w:t>6</w:t>
      </w:r>
      <w:r w:rsidRPr="00940E65">
        <w:t xml:space="preserve"> (</w:t>
      </w:r>
      <w:r w:rsidR="00296950">
        <w:rPr>
          <w:i/>
        </w:rPr>
        <w:t>sešām</w:t>
      </w:r>
      <w:r w:rsidRPr="00940E65">
        <w:t xml:space="preserve">) lapām ar </w:t>
      </w:r>
      <w:r w:rsidR="00296950">
        <w:t>vienu</w:t>
      </w:r>
      <w:r w:rsidRPr="00940E65">
        <w:t xml:space="preserve"> pielikumu uz</w:t>
      </w:r>
      <w:r w:rsidR="00296950">
        <w:t xml:space="preserve"> 1 (vienas)</w:t>
      </w:r>
      <w:r w:rsidRPr="00940E65">
        <w:t xml:space="preserve"> lap</w:t>
      </w:r>
      <w:r w:rsidR="00296950">
        <w:t>as</w:t>
      </w:r>
      <w:r w:rsidRPr="00940E65">
        <w:t>, pa vienam eksemplāram katrai Pusei.</w:t>
      </w:r>
    </w:p>
    <w:p w14:paraId="3ED1E691" w14:textId="77777777" w:rsidR="00AC16C1" w:rsidRPr="00940E65" w:rsidRDefault="00AC16C1" w:rsidP="00AC16C1">
      <w:pPr>
        <w:suppressAutoHyphens w:val="0"/>
        <w:spacing w:before="120" w:after="120"/>
        <w:ind w:left="567"/>
        <w:jc w:val="both"/>
      </w:pPr>
    </w:p>
    <w:p w14:paraId="15870FDC" w14:textId="77777777" w:rsidR="00AC16C1" w:rsidRPr="00E644C2" w:rsidRDefault="00AC16C1" w:rsidP="00AC16C1">
      <w:pPr>
        <w:suppressAutoHyphens w:val="0"/>
        <w:spacing w:before="120" w:after="120"/>
        <w:jc w:val="both"/>
        <w:rPr>
          <w:b/>
        </w:rPr>
      </w:pPr>
      <w:r w:rsidRPr="00E644C2">
        <w:rPr>
          <w:b/>
        </w:rPr>
        <w:t>12. Pušu rekvizīti</w:t>
      </w:r>
    </w:p>
    <w:tbl>
      <w:tblPr>
        <w:tblW w:w="8931" w:type="dxa"/>
        <w:tblInd w:w="108" w:type="dxa"/>
        <w:tblLayout w:type="fixed"/>
        <w:tblLook w:val="0000" w:firstRow="0" w:lastRow="0" w:firstColumn="0" w:lastColumn="0" w:noHBand="0" w:noVBand="0"/>
      </w:tblPr>
      <w:tblGrid>
        <w:gridCol w:w="2160"/>
        <w:gridCol w:w="3227"/>
        <w:gridCol w:w="3544"/>
      </w:tblGrid>
      <w:tr w:rsidR="00296950" w:rsidRPr="00940E65" w14:paraId="1710C582" w14:textId="77777777" w:rsidTr="00B30255">
        <w:trPr>
          <w:trHeight w:val="113"/>
        </w:trPr>
        <w:tc>
          <w:tcPr>
            <w:tcW w:w="2160" w:type="dxa"/>
            <w:tcBorders>
              <w:top w:val="nil"/>
              <w:left w:val="nil"/>
              <w:right w:val="nil"/>
            </w:tcBorders>
          </w:tcPr>
          <w:p w14:paraId="797833D3" w14:textId="77777777" w:rsidR="00296950" w:rsidRPr="00940E65" w:rsidRDefault="00296950" w:rsidP="00B30255">
            <w:pPr>
              <w:rPr>
                <w:sz w:val="12"/>
              </w:rPr>
            </w:pPr>
          </w:p>
        </w:tc>
        <w:tc>
          <w:tcPr>
            <w:tcW w:w="3227" w:type="dxa"/>
            <w:tcBorders>
              <w:top w:val="nil"/>
              <w:left w:val="nil"/>
              <w:bottom w:val="single" w:sz="4" w:space="0" w:color="auto"/>
              <w:right w:val="nil"/>
            </w:tcBorders>
          </w:tcPr>
          <w:p w14:paraId="13691BBE" w14:textId="77777777" w:rsidR="00296950" w:rsidRPr="00940E65" w:rsidRDefault="00296950" w:rsidP="00B30255">
            <w:pPr>
              <w:rPr>
                <w:b/>
              </w:rPr>
            </w:pPr>
            <w:r w:rsidRPr="00940E65">
              <w:rPr>
                <w:b/>
              </w:rPr>
              <w:t>Pasūtītājs</w:t>
            </w:r>
          </w:p>
        </w:tc>
        <w:tc>
          <w:tcPr>
            <w:tcW w:w="3544" w:type="dxa"/>
            <w:tcBorders>
              <w:top w:val="nil"/>
              <w:left w:val="nil"/>
              <w:bottom w:val="single" w:sz="4" w:space="0" w:color="auto"/>
              <w:right w:val="nil"/>
            </w:tcBorders>
          </w:tcPr>
          <w:p w14:paraId="425A05B1" w14:textId="77777777" w:rsidR="00296950" w:rsidRPr="00940E65" w:rsidRDefault="00296950" w:rsidP="00B30255">
            <w:pPr>
              <w:rPr>
                <w:b/>
              </w:rPr>
            </w:pPr>
            <w:r w:rsidRPr="00940E65">
              <w:rPr>
                <w:b/>
              </w:rPr>
              <w:t>Izpildītājs</w:t>
            </w:r>
          </w:p>
          <w:p w14:paraId="12991D96" w14:textId="77777777" w:rsidR="00296950" w:rsidRPr="00940E65" w:rsidRDefault="00296950" w:rsidP="00B30255">
            <w:pPr>
              <w:rPr>
                <w:b/>
              </w:rPr>
            </w:pPr>
          </w:p>
        </w:tc>
      </w:tr>
      <w:tr w:rsidR="00296950" w:rsidRPr="00940E65" w14:paraId="4F7D8C9F" w14:textId="77777777" w:rsidTr="00B30255">
        <w:trPr>
          <w:trHeight w:val="113"/>
        </w:trPr>
        <w:tc>
          <w:tcPr>
            <w:tcW w:w="2160" w:type="dxa"/>
            <w:tcBorders>
              <w:bottom w:val="single" w:sz="4" w:space="0" w:color="auto"/>
              <w:right w:val="single" w:sz="4" w:space="0" w:color="auto"/>
            </w:tcBorders>
          </w:tcPr>
          <w:p w14:paraId="7975C0AC" w14:textId="77777777" w:rsidR="00296950" w:rsidRPr="00940E65" w:rsidRDefault="00296950" w:rsidP="00B30255">
            <w:pPr>
              <w:spacing w:line="113" w:lineRule="atLeast"/>
            </w:pPr>
          </w:p>
        </w:tc>
        <w:tc>
          <w:tcPr>
            <w:tcW w:w="3227" w:type="dxa"/>
            <w:tcBorders>
              <w:top w:val="single" w:sz="4" w:space="0" w:color="auto"/>
              <w:left w:val="single" w:sz="4" w:space="0" w:color="auto"/>
              <w:bottom w:val="single" w:sz="4" w:space="0" w:color="auto"/>
              <w:right w:val="single" w:sz="4" w:space="0" w:color="auto"/>
            </w:tcBorders>
          </w:tcPr>
          <w:p w14:paraId="356D8C62" w14:textId="77777777" w:rsidR="00296950" w:rsidRPr="00940E65" w:rsidRDefault="00296950" w:rsidP="00B30255">
            <w:pPr>
              <w:rPr>
                <w:b/>
              </w:rPr>
            </w:pPr>
            <w:r w:rsidRPr="00BE221B">
              <w:rPr>
                <w:b/>
                <w:bCs/>
                <w:iCs/>
              </w:rPr>
              <w:t>Profesionālās izglītības kompetences centrs „Rīgas Valsts tehnikums”</w:t>
            </w:r>
          </w:p>
        </w:tc>
        <w:tc>
          <w:tcPr>
            <w:tcW w:w="3544" w:type="dxa"/>
            <w:tcBorders>
              <w:top w:val="single" w:sz="4" w:space="0" w:color="auto"/>
              <w:left w:val="single" w:sz="4" w:space="0" w:color="auto"/>
              <w:bottom w:val="single" w:sz="4" w:space="0" w:color="auto"/>
              <w:right w:val="single" w:sz="4" w:space="0" w:color="auto"/>
            </w:tcBorders>
          </w:tcPr>
          <w:p w14:paraId="46AF55DB" w14:textId="77777777" w:rsidR="00296950" w:rsidRPr="00940E65" w:rsidRDefault="00296950" w:rsidP="00B30255">
            <w:pPr>
              <w:rPr>
                <w:b/>
              </w:rPr>
            </w:pPr>
            <w:r w:rsidRPr="00154164">
              <w:rPr>
                <w:b/>
                <w:bCs/>
              </w:rPr>
              <w:t>SIA "</w:t>
            </w:r>
            <w:proofErr w:type="spellStart"/>
            <w:r w:rsidRPr="00154164">
              <w:rPr>
                <w:b/>
                <w:bCs/>
              </w:rPr>
              <w:t>BM-projekts</w:t>
            </w:r>
            <w:proofErr w:type="spellEnd"/>
            <w:r w:rsidRPr="00154164">
              <w:rPr>
                <w:b/>
                <w:bCs/>
              </w:rPr>
              <w:t>"</w:t>
            </w:r>
          </w:p>
        </w:tc>
      </w:tr>
      <w:tr w:rsidR="00296950" w:rsidRPr="00940E65" w14:paraId="6CF37E27" w14:textId="77777777" w:rsidTr="00B30255">
        <w:trPr>
          <w:trHeight w:val="113"/>
        </w:trPr>
        <w:tc>
          <w:tcPr>
            <w:tcW w:w="2160" w:type="dxa"/>
            <w:tcBorders>
              <w:top w:val="single" w:sz="4" w:space="0" w:color="auto"/>
              <w:left w:val="single" w:sz="4" w:space="0" w:color="auto"/>
              <w:bottom w:val="single" w:sz="4" w:space="0" w:color="auto"/>
              <w:right w:val="single" w:sz="4" w:space="0" w:color="auto"/>
            </w:tcBorders>
          </w:tcPr>
          <w:p w14:paraId="1E889657" w14:textId="77777777" w:rsidR="00296950" w:rsidRPr="00940E65" w:rsidRDefault="00296950" w:rsidP="00B30255">
            <w:r w:rsidRPr="00940E65">
              <w:t>Reģistrācijas Nr.</w:t>
            </w:r>
          </w:p>
        </w:tc>
        <w:tc>
          <w:tcPr>
            <w:tcW w:w="3227" w:type="dxa"/>
            <w:tcBorders>
              <w:top w:val="single" w:sz="4" w:space="0" w:color="auto"/>
              <w:left w:val="single" w:sz="4" w:space="0" w:color="auto"/>
              <w:bottom w:val="single" w:sz="4" w:space="0" w:color="auto"/>
              <w:right w:val="single" w:sz="4" w:space="0" w:color="auto"/>
            </w:tcBorders>
          </w:tcPr>
          <w:p w14:paraId="78FC54A1" w14:textId="77777777" w:rsidR="00296950" w:rsidRPr="00940E65" w:rsidRDefault="00296950" w:rsidP="00B30255">
            <w:pPr>
              <w:jc w:val="both"/>
            </w:pPr>
            <w:r w:rsidRPr="003D288E">
              <w:t>LV90000281996</w:t>
            </w:r>
          </w:p>
        </w:tc>
        <w:tc>
          <w:tcPr>
            <w:tcW w:w="3544" w:type="dxa"/>
            <w:tcBorders>
              <w:top w:val="single" w:sz="4" w:space="0" w:color="auto"/>
              <w:left w:val="single" w:sz="4" w:space="0" w:color="auto"/>
              <w:bottom w:val="single" w:sz="4" w:space="0" w:color="auto"/>
              <w:right w:val="single" w:sz="4" w:space="0" w:color="auto"/>
            </w:tcBorders>
          </w:tcPr>
          <w:p w14:paraId="03479A34" w14:textId="77777777" w:rsidR="00296950" w:rsidRPr="00940E65" w:rsidRDefault="00296950" w:rsidP="00B30255">
            <w:pPr>
              <w:jc w:val="both"/>
            </w:pPr>
            <w:r w:rsidRPr="003D288E">
              <w:t>40103196966</w:t>
            </w:r>
          </w:p>
        </w:tc>
      </w:tr>
      <w:tr w:rsidR="00296950" w:rsidRPr="00940E65" w14:paraId="005B0FAA" w14:textId="77777777" w:rsidTr="00B30255">
        <w:trPr>
          <w:trHeight w:val="113"/>
        </w:trPr>
        <w:tc>
          <w:tcPr>
            <w:tcW w:w="2160" w:type="dxa"/>
            <w:tcBorders>
              <w:top w:val="single" w:sz="4" w:space="0" w:color="auto"/>
              <w:left w:val="single" w:sz="4" w:space="0" w:color="auto"/>
              <w:bottom w:val="single" w:sz="4" w:space="0" w:color="auto"/>
              <w:right w:val="single" w:sz="4" w:space="0" w:color="auto"/>
            </w:tcBorders>
          </w:tcPr>
          <w:p w14:paraId="543B8007" w14:textId="77777777" w:rsidR="00296950" w:rsidRPr="00940E65" w:rsidRDefault="00296950" w:rsidP="00B30255">
            <w:r w:rsidRPr="00940E65">
              <w:t>Adrese</w:t>
            </w:r>
          </w:p>
        </w:tc>
        <w:tc>
          <w:tcPr>
            <w:tcW w:w="3227" w:type="dxa"/>
            <w:tcBorders>
              <w:top w:val="single" w:sz="4" w:space="0" w:color="auto"/>
              <w:left w:val="single" w:sz="4" w:space="0" w:color="auto"/>
              <w:bottom w:val="single" w:sz="4" w:space="0" w:color="auto"/>
              <w:right w:val="single" w:sz="4" w:space="0" w:color="auto"/>
            </w:tcBorders>
          </w:tcPr>
          <w:p w14:paraId="09AB5FA4" w14:textId="77777777" w:rsidR="00296950" w:rsidRPr="003D288E" w:rsidRDefault="00296950" w:rsidP="00B30255">
            <w:pPr>
              <w:jc w:val="both"/>
            </w:pPr>
            <w:proofErr w:type="spellStart"/>
            <w:r w:rsidRPr="003D288E">
              <w:t>Kr.Valdemāra</w:t>
            </w:r>
            <w:proofErr w:type="spellEnd"/>
            <w:r w:rsidRPr="003D288E">
              <w:t xml:space="preserve"> iela 1c, Rīga, LV-1010</w:t>
            </w:r>
          </w:p>
        </w:tc>
        <w:tc>
          <w:tcPr>
            <w:tcW w:w="3544" w:type="dxa"/>
            <w:tcBorders>
              <w:top w:val="single" w:sz="4" w:space="0" w:color="auto"/>
              <w:left w:val="single" w:sz="4" w:space="0" w:color="auto"/>
              <w:bottom w:val="single" w:sz="4" w:space="0" w:color="auto"/>
              <w:right w:val="single" w:sz="4" w:space="0" w:color="auto"/>
            </w:tcBorders>
          </w:tcPr>
          <w:p w14:paraId="0E80DAEB" w14:textId="77777777" w:rsidR="00296950" w:rsidRPr="00940E65" w:rsidRDefault="00296950" w:rsidP="00B30255">
            <w:pPr>
              <w:jc w:val="both"/>
            </w:pPr>
            <w:r w:rsidRPr="003D288E">
              <w:t>Pārslas iela 3B, Rīga, LV-1002</w:t>
            </w:r>
          </w:p>
        </w:tc>
      </w:tr>
      <w:tr w:rsidR="00296950" w:rsidRPr="00940E65" w14:paraId="66860115" w14:textId="77777777" w:rsidTr="00B30255">
        <w:trPr>
          <w:trHeight w:val="113"/>
        </w:trPr>
        <w:tc>
          <w:tcPr>
            <w:tcW w:w="2160" w:type="dxa"/>
            <w:tcBorders>
              <w:top w:val="single" w:sz="4" w:space="0" w:color="auto"/>
              <w:left w:val="single" w:sz="4" w:space="0" w:color="auto"/>
              <w:bottom w:val="single" w:sz="4" w:space="0" w:color="auto"/>
              <w:right w:val="single" w:sz="4" w:space="0" w:color="auto"/>
            </w:tcBorders>
          </w:tcPr>
          <w:p w14:paraId="40749944" w14:textId="77777777" w:rsidR="00296950" w:rsidRPr="00940E65" w:rsidRDefault="00296950" w:rsidP="00B30255">
            <w:pPr>
              <w:rPr>
                <w:szCs w:val="24"/>
              </w:rPr>
            </w:pPr>
            <w:r w:rsidRPr="00940E65">
              <w:rPr>
                <w:color w:val="333333"/>
                <w:szCs w:val="24"/>
                <w:shd w:val="clear" w:color="auto" w:fill="FFFFFF"/>
              </w:rPr>
              <w:t xml:space="preserve">Konta nr. </w:t>
            </w:r>
          </w:p>
        </w:tc>
        <w:tc>
          <w:tcPr>
            <w:tcW w:w="3227" w:type="dxa"/>
            <w:tcBorders>
              <w:top w:val="single" w:sz="4" w:space="0" w:color="auto"/>
              <w:left w:val="single" w:sz="4" w:space="0" w:color="auto"/>
              <w:bottom w:val="single" w:sz="4" w:space="0" w:color="auto"/>
              <w:right w:val="single" w:sz="4" w:space="0" w:color="auto"/>
            </w:tcBorders>
          </w:tcPr>
          <w:p w14:paraId="54289B7F" w14:textId="0107F0AA" w:rsidR="00296950" w:rsidRPr="00940E65" w:rsidRDefault="00E644C2" w:rsidP="00B30255">
            <w:pPr>
              <w:jc w:val="both"/>
              <w:rPr>
                <w:szCs w:val="24"/>
              </w:rPr>
            </w:pPr>
            <w:r>
              <w:rPr>
                <w:szCs w:val="24"/>
              </w:rPr>
              <w:t>LV06TREL215022304100B</w:t>
            </w:r>
          </w:p>
        </w:tc>
        <w:tc>
          <w:tcPr>
            <w:tcW w:w="3544" w:type="dxa"/>
            <w:tcBorders>
              <w:top w:val="single" w:sz="4" w:space="0" w:color="auto"/>
              <w:left w:val="single" w:sz="4" w:space="0" w:color="auto"/>
              <w:bottom w:val="single" w:sz="4" w:space="0" w:color="auto"/>
              <w:right w:val="single" w:sz="4" w:space="0" w:color="auto"/>
            </w:tcBorders>
          </w:tcPr>
          <w:p w14:paraId="34E23E8A" w14:textId="77777777" w:rsidR="00296950" w:rsidRPr="003D288E" w:rsidRDefault="00296950" w:rsidP="00B30255">
            <w:pPr>
              <w:jc w:val="both"/>
            </w:pPr>
            <w:r w:rsidRPr="003D288E">
              <w:rPr>
                <w:lang w:val="en-US"/>
              </w:rPr>
              <w:t>LV33RIKO0002013267394</w:t>
            </w:r>
          </w:p>
        </w:tc>
      </w:tr>
      <w:tr w:rsidR="00296950" w:rsidRPr="00940E65" w14:paraId="4D42CC9E" w14:textId="77777777" w:rsidTr="00B30255">
        <w:trPr>
          <w:trHeight w:val="201"/>
        </w:trPr>
        <w:tc>
          <w:tcPr>
            <w:tcW w:w="2160" w:type="dxa"/>
            <w:tcBorders>
              <w:top w:val="single" w:sz="4" w:space="0" w:color="auto"/>
              <w:left w:val="single" w:sz="4" w:space="0" w:color="auto"/>
              <w:bottom w:val="single" w:sz="4" w:space="0" w:color="auto"/>
              <w:right w:val="single" w:sz="4" w:space="0" w:color="auto"/>
            </w:tcBorders>
          </w:tcPr>
          <w:p w14:paraId="3DE47160" w14:textId="77777777" w:rsidR="00296950" w:rsidRPr="00940E65" w:rsidRDefault="00296950" w:rsidP="00B30255">
            <w:pPr>
              <w:rPr>
                <w:szCs w:val="24"/>
              </w:rPr>
            </w:pPr>
            <w:r w:rsidRPr="00940E65">
              <w:rPr>
                <w:color w:val="333333"/>
                <w:szCs w:val="24"/>
                <w:shd w:val="clear" w:color="auto" w:fill="FFFFFF"/>
              </w:rPr>
              <w:t xml:space="preserve">Banka: </w:t>
            </w:r>
          </w:p>
        </w:tc>
        <w:tc>
          <w:tcPr>
            <w:tcW w:w="3227" w:type="dxa"/>
            <w:tcBorders>
              <w:top w:val="single" w:sz="4" w:space="0" w:color="auto"/>
              <w:left w:val="single" w:sz="4" w:space="0" w:color="auto"/>
              <w:bottom w:val="single" w:sz="4" w:space="0" w:color="auto"/>
              <w:right w:val="single" w:sz="4" w:space="0" w:color="auto"/>
            </w:tcBorders>
          </w:tcPr>
          <w:p w14:paraId="7FDE352E" w14:textId="77777777" w:rsidR="00296950" w:rsidRPr="00940E65" w:rsidRDefault="00296950" w:rsidP="00B30255">
            <w:pPr>
              <w:jc w:val="both"/>
              <w:rPr>
                <w:szCs w:val="24"/>
              </w:rPr>
            </w:pPr>
            <w:r w:rsidRPr="003D288E">
              <w:rPr>
                <w:szCs w:val="24"/>
              </w:rPr>
              <w:t>Valsts kase</w:t>
            </w:r>
          </w:p>
        </w:tc>
        <w:tc>
          <w:tcPr>
            <w:tcW w:w="3544" w:type="dxa"/>
            <w:tcBorders>
              <w:top w:val="single" w:sz="4" w:space="0" w:color="auto"/>
              <w:left w:val="single" w:sz="4" w:space="0" w:color="auto"/>
              <w:bottom w:val="single" w:sz="4" w:space="0" w:color="auto"/>
              <w:right w:val="single" w:sz="4" w:space="0" w:color="auto"/>
            </w:tcBorders>
          </w:tcPr>
          <w:p w14:paraId="0AAB2697" w14:textId="77777777" w:rsidR="00E644C2" w:rsidRDefault="00E644C2" w:rsidP="00B30255">
            <w:pPr>
              <w:jc w:val="both"/>
            </w:pPr>
            <w:r>
              <w:t>AS “</w:t>
            </w:r>
            <w:proofErr w:type="spellStart"/>
            <w:r w:rsidR="00296950" w:rsidRPr="003D288E">
              <w:t>Luminor</w:t>
            </w:r>
            <w:proofErr w:type="spellEnd"/>
            <w:r w:rsidR="00296950" w:rsidRPr="003D288E">
              <w:t xml:space="preserve"> </w:t>
            </w:r>
            <w:proofErr w:type="spellStart"/>
            <w:r w:rsidR="00296950" w:rsidRPr="003D288E">
              <w:t>bank</w:t>
            </w:r>
            <w:proofErr w:type="spellEnd"/>
            <w:r>
              <w:t>”</w:t>
            </w:r>
          </w:p>
          <w:p w14:paraId="62F43284" w14:textId="28A862B5" w:rsidR="00296950" w:rsidRPr="00940E65" w:rsidRDefault="00E644C2" w:rsidP="00B30255">
            <w:pPr>
              <w:jc w:val="both"/>
            </w:pPr>
            <w:r>
              <w:t>Kods – RIKOLV2X</w:t>
            </w:r>
          </w:p>
        </w:tc>
      </w:tr>
      <w:tr w:rsidR="00296950" w:rsidRPr="00940E65" w14:paraId="43A49D7D" w14:textId="77777777" w:rsidTr="00B30255">
        <w:trPr>
          <w:trHeight w:val="113"/>
        </w:trPr>
        <w:tc>
          <w:tcPr>
            <w:tcW w:w="2160" w:type="dxa"/>
            <w:tcBorders>
              <w:top w:val="single" w:sz="4" w:space="0" w:color="auto"/>
              <w:left w:val="single" w:sz="4" w:space="0" w:color="auto"/>
              <w:bottom w:val="single" w:sz="4" w:space="0" w:color="auto"/>
              <w:right w:val="single" w:sz="4" w:space="0" w:color="auto"/>
            </w:tcBorders>
          </w:tcPr>
          <w:p w14:paraId="16B09B00" w14:textId="77777777" w:rsidR="00296950" w:rsidRPr="00940E65" w:rsidRDefault="00296950" w:rsidP="00B30255">
            <w:r w:rsidRPr="00940E65">
              <w:t>Tālr./fakss</w:t>
            </w:r>
          </w:p>
        </w:tc>
        <w:tc>
          <w:tcPr>
            <w:tcW w:w="3227" w:type="dxa"/>
            <w:tcBorders>
              <w:top w:val="single" w:sz="4" w:space="0" w:color="auto"/>
              <w:left w:val="single" w:sz="4" w:space="0" w:color="auto"/>
              <w:bottom w:val="single" w:sz="4" w:space="0" w:color="auto"/>
              <w:right w:val="single" w:sz="4" w:space="0" w:color="auto"/>
            </w:tcBorders>
          </w:tcPr>
          <w:p w14:paraId="1036FB10" w14:textId="77777777" w:rsidR="00296950" w:rsidRPr="00940E65" w:rsidRDefault="00296950" w:rsidP="00B30255">
            <w:pPr>
              <w:jc w:val="both"/>
            </w:pPr>
            <w:r w:rsidRPr="003D288E">
              <w:t>67324146</w:t>
            </w:r>
            <w:r w:rsidR="00E644C2">
              <w:t>/67322944</w:t>
            </w:r>
          </w:p>
        </w:tc>
        <w:tc>
          <w:tcPr>
            <w:tcW w:w="3544" w:type="dxa"/>
            <w:tcBorders>
              <w:top w:val="single" w:sz="4" w:space="0" w:color="auto"/>
              <w:left w:val="single" w:sz="4" w:space="0" w:color="auto"/>
              <w:bottom w:val="single" w:sz="4" w:space="0" w:color="auto"/>
              <w:right w:val="single" w:sz="4" w:space="0" w:color="auto"/>
            </w:tcBorders>
          </w:tcPr>
          <w:p w14:paraId="284A40CC" w14:textId="77777777" w:rsidR="00296950" w:rsidRPr="00940E65" w:rsidRDefault="00296950" w:rsidP="00B30255">
            <w:pPr>
              <w:jc w:val="both"/>
            </w:pPr>
            <w:r w:rsidRPr="003D288E">
              <w:t>29762257</w:t>
            </w:r>
          </w:p>
        </w:tc>
      </w:tr>
      <w:tr w:rsidR="00296950" w:rsidRPr="00940E65" w14:paraId="5B9116F1" w14:textId="77777777" w:rsidTr="00B30255">
        <w:trPr>
          <w:trHeight w:val="113"/>
        </w:trPr>
        <w:tc>
          <w:tcPr>
            <w:tcW w:w="2160" w:type="dxa"/>
            <w:tcBorders>
              <w:top w:val="single" w:sz="4" w:space="0" w:color="auto"/>
              <w:left w:val="single" w:sz="4" w:space="0" w:color="auto"/>
              <w:bottom w:val="single" w:sz="4" w:space="0" w:color="auto"/>
              <w:right w:val="single" w:sz="4" w:space="0" w:color="auto"/>
            </w:tcBorders>
          </w:tcPr>
          <w:p w14:paraId="1D3A93E9" w14:textId="77777777" w:rsidR="00296950" w:rsidRPr="00940E65" w:rsidRDefault="00296950" w:rsidP="00B30255">
            <w:r w:rsidRPr="00940E65">
              <w:t>E-pasts</w:t>
            </w:r>
          </w:p>
        </w:tc>
        <w:tc>
          <w:tcPr>
            <w:tcW w:w="3227" w:type="dxa"/>
            <w:tcBorders>
              <w:top w:val="single" w:sz="4" w:space="0" w:color="auto"/>
              <w:left w:val="single" w:sz="4" w:space="0" w:color="auto"/>
              <w:bottom w:val="single" w:sz="4" w:space="0" w:color="auto"/>
              <w:right w:val="single" w:sz="4" w:space="0" w:color="auto"/>
            </w:tcBorders>
          </w:tcPr>
          <w:p w14:paraId="6B4920C4" w14:textId="77777777" w:rsidR="00296950" w:rsidRPr="00940E65" w:rsidRDefault="00296950" w:rsidP="00B30255">
            <w:pPr>
              <w:jc w:val="both"/>
            </w:pPr>
            <w:r>
              <w:t>kanceleja@</w:t>
            </w:r>
            <w:r w:rsidRPr="003D288E">
              <w:t>rvt.lv</w:t>
            </w:r>
          </w:p>
        </w:tc>
        <w:tc>
          <w:tcPr>
            <w:tcW w:w="3544" w:type="dxa"/>
            <w:tcBorders>
              <w:top w:val="single" w:sz="4" w:space="0" w:color="auto"/>
              <w:left w:val="single" w:sz="4" w:space="0" w:color="auto"/>
              <w:bottom w:val="single" w:sz="4" w:space="0" w:color="auto"/>
              <w:right w:val="single" w:sz="4" w:space="0" w:color="auto"/>
            </w:tcBorders>
          </w:tcPr>
          <w:p w14:paraId="6F7AF836" w14:textId="77777777" w:rsidR="00296950" w:rsidRPr="00940E65" w:rsidRDefault="00296950" w:rsidP="00B30255">
            <w:pPr>
              <w:jc w:val="both"/>
            </w:pPr>
            <w:r w:rsidRPr="003D288E">
              <w:t>info@bm-projekts.lv</w:t>
            </w:r>
          </w:p>
        </w:tc>
      </w:tr>
    </w:tbl>
    <w:p w14:paraId="682A07F8" w14:textId="77777777" w:rsidR="00AC16C1" w:rsidRPr="00940E65" w:rsidRDefault="00AC16C1" w:rsidP="00AC16C1">
      <w:pPr>
        <w:pStyle w:val="ListParagraph"/>
        <w:ind w:left="360"/>
        <w:rPr>
          <w:b/>
          <w:lang w:val="lv-LV"/>
        </w:rPr>
      </w:pPr>
    </w:p>
    <w:p w14:paraId="2F80AEEE" w14:textId="77777777" w:rsidR="00AC16C1" w:rsidRPr="00940E65" w:rsidRDefault="00AC16C1" w:rsidP="00AC16C1">
      <w:pPr>
        <w:pStyle w:val="ListParagraph"/>
        <w:suppressAutoHyphens w:val="0"/>
        <w:spacing w:line="240" w:lineRule="auto"/>
        <w:ind w:left="480" w:hanging="480"/>
        <w:rPr>
          <w:b/>
          <w:lang w:val="lv-LV"/>
        </w:rPr>
      </w:pPr>
      <w:r w:rsidRPr="00940E65">
        <w:rPr>
          <w:b/>
          <w:lang w:val="lv-LV"/>
        </w:rPr>
        <w:t>13. Pušu paraksti</w:t>
      </w:r>
    </w:p>
    <w:p w14:paraId="76C3A145" w14:textId="77777777" w:rsidR="00AC16C1" w:rsidRPr="00940E65" w:rsidRDefault="00AC16C1" w:rsidP="00AC16C1">
      <w:pPr>
        <w:pStyle w:val="ListParagraph"/>
        <w:suppressAutoHyphens w:val="0"/>
        <w:spacing w:line="240" w:lineRule="auto"/>
        <w:ind w:left="480"/>
        <w:rPr>
          <w:b/>
          <w:lang w:val="lv-LV"/>
        </w:rPr>
      </w:pPr>
    </w:p>
    <w:p w14:paraId="4A0ED8D7" w14:textId="77777777" w:rsidR="00AC16C1" w:rsidRPr="00940E65" w:rsidRDefault="00AC16C1" w:rsidP="00AC16C1">
      <w:pPr>
        <w:jc w:val="both"/>
        <w:rPr>
          <w:color w:val="000000"/>
        </w:rPr>
      </w:pPr>
      <w:r w:rsidRPr="00940E65">
        <w:rPr>
          <w:b/>
          <w:bCs/>
          <w:color w:val="000000"/>
        </w:rPr>
        <w:t>Pasūtītājs</w:t>
      </w:r>
      <w:r w:rsidRPr="00940E65">
        <w:rPr>
          <w:bCs/>
          <w:color w:val="000000"/>
        </w:rPr>
        <w:tab/>
      </w:r>
      <w:r w:rsidRPr="00940E65">
        <w:rPr>
          <w:bCs/>
          <w:color w:val="000000"/>
        </w:rPr>
        <w:tab/>
      </w:r>
      <w:r w:rsidRPr="00940E65">
        <w:rPr>
          <w:bCs/>
          <w:color w:val="000000"/>
        </w:rPr>
        <w:tab/>
      </w:r>
      <w:r w:rsidRPr="00940E65">
        <w:rPr>
          <w:bCs/>
          <w:color w:val="000000"/>
        </w:rPr>
        <w:tab/>
      </w:r>
      <w:r w:rsidRPr="00940E65">
        <w:rPr>
          <w:bCs/>
          <w:color w:val="000000"/>
        </w:rPr>
        <w:tab/>
      </w:r>
      <w:r w:rsidRPr="00940E65">
        <w:rPr>
          <w:bCs/>
          <w:color w:val="000000"/>
        </w:rPr>
        <w:tab/>
      </w:r>
      <w:r w:rsidRPr="00940E65">
        <w:rPr>
          <w:b/>
          <w:bCs/>
          <w:color w:val="000000"/>
        </w:rPr>
        <w:t>Izpildītājs</w:t>
      </w:r>
      <w:r w:rsidRPr="00940E65">
        <w:rPr>
          <w:color w:val="000000"/>
        </w:rPr>
        <w:tab/>
      </w:r>
      <w:r w:rsidRPr="00940E65">
        <w:rPr>
          <w:color w:val="000000"/>
        </w:rPr>
        <w:tab/>
      </w:r>
      <w:r w:rsidRPr="00940E65">
        <w:rPr>
          <w:color w:val="000000"/>
        </w:rPr>
        <w:tab/>
      </w:r>
    </w:p>
    <w:p w14:paraId="36A184DA" w14:textId="77777777" w:rsidR="00AC16C1" w:rsidRPr="00940E65" w:rsidRDefault="00AC16C1" w:rsidP="00AC16C1">
      <w:pPr>
        <w:jc w:val="both"/>
        <w:rPr>
          <w:color w:val="000000"/>
        </w:rPr>
      </w:pPr>
      <w:r w:rsidRPr="00940E65">
        <w:rPr>
          <w:color w:val="000000"/>
        </w:rPr>
        <w:tab/>
      </w:r>
      <w:r w:rsidRPr="00940E65">
        <w:rPr>
          <w:color w:val="000000"/>
        </w:rPr>
        <w:tab/>
      </w:r>
      <w:r w:rsidRPr="00940E65">
        <w:rPr>
          <w:color w:val="000000"/>
        </w:rPr>
        <w:tab/>
      </w:r>
      <w:r w:rsidRPr="00940E65">
        <w:rPr>
          <w:color w:val="000000"/>
        </w:rPr>
        <w:tab/>
      </w:r>
    </w:p>
    <w:p w14:paraId="6D726361" w14:textId="77777777" w:rsidR="00AC16C1" w:rsidRPr="00940E65" w:rsidRDefault="00AC16C1" w:rsidP="00AC16C1">
      <w:pPr>
        <w:jc w:val="both"/>
      </w:pPr>
      <w:r w:rsidRPr="00940E65">
        <w:tab/>
      </w:r>
      <w:r w:rsidRPr="00940E65">
        <w:tab/>
      </w:r>
      <w:r w:rsidRPr="00940E65">
        <w:tab/>
      </w:r>
      <w:r w:rsidRPr="00940E65">
        <w:tab/>
      </w:r>
      <w:r w:rsidRPr="00940E65">
        <w:tab/>
      </w:r>
      <w:r w:rsidRPr="00940E65">
        <w:tab/>
      </w:r>
      <w:r w:rsidRPr="00940E65">
        <w:tab/>
      </w:r>
    </w:p>
    <w:p w14:paraId="585B6551" w14:textId="77777777" w:rsidR="00AC16C1" w:rsidRPr="00940E65" w:rsidRDefault="00AC16C1" w:rsidP="00AC16C1">
      <w:r w:rsidRPr="00940E65">
        <w:t> _______________________</w:t>
      </w:r>
      <w:r w:rsidRPr="00940E65">
        <w:tab/>
      </w:r>
      <w:r w:rsidRPr="00940E65">
        <w:tab/>
      </w:r>
      <w:r w:rsidRPr="00940E65">
        <w:tab/>
      </w:r>
      <w:r w:rsidRPr="00940E65">
        <w:tab/>
        <w:t>__________________</w:t>
      </w:r>
    </w:p>
    <w:p w14:paraId="454AAF9D" w14:textId="77777777" w:rsidR="00105B4F" w:rsidRDefault="00E644C2" w:rsidP="00AC16C1">
      <w:pPr>
        <w:rPr>
          <w:sz w:val="16"/>
        </w:rPr>
      </w:pPr>
      <w:r w:rsidRPr="00E644C2">
        <w:rPr>
          <w:szCs w:val="24"/>
        </w:rPr>
        <w:t>Direktore Dagnija Vanaga</w:t>
      </w:r>
      <w:r w:rsidR="00AC16C1" w:rsidRPr="00940E65">
        <w:rPr>
          <w:sz w:val="20"/>
        </w:rPr>
        <w:tab/>
      </w:r>
      <w:r w:rsidR="00AC16C1" w:rsidRPr="00940E65">
        <w:rPr>
          <w:sz w:val="20"/>
        </w:rPr>
        <w:tab/>
      </w:r>
      <w:r w:rsidR="00AC16C1" w:rsidRPr="00940E65">
        <w:rPr>
          <w:sz w:val="16"/>
        </w:rPr>
        <w:tab/>
      </w:r>
      <w:r>
        <w:rPr>
          <w:sz w:val="16"/>
        </w:rPr>
        <w:t xml:space="preserve">                 </w:t>
      </w:r>
      <w:r w:rsidRPr="00E644C2">
        <w:rPr>
          <w:szCs w:val="24"/>
        </w:rPr>
        <w:t xml:space="preserve">Valdes loceklis Mārtiņš </w:t>
      </w:r>
      <w:proofErr w:type="spellStart"/>
      <w:r w:rsidRPr="00E644C2">
        <w:rPr>
          <w:szCs w:val="24"/>
        </w:rPr>
        <w:t>Blumentāls</w:t>
      </w:r>
      <w:proofErr w:type="spellEnd"/>
    </w:p>
    <w:p w14:paraId="5D3FF60C" w14:textId="3D0FAD42" w:rsidR="00296950" w:rsidRDefault="00296950">
      <w:pPr>
        <w:suppressAutoHyphens w:val="0"/>
        <w:spacing w:after="160" w:line="259" w:lineRule="auto"/>
        <w:rPr>
          <w:sz w:val="16"/>
        </w:rPr>
      </w:pPr>
      <w:bookmarkStart w:id="0" w:name="_GoBack"/>
      <w:bookmarkEnd w:id="0"/>
    </w:p>
    <w:sectPr w:rsidR="00296950" w:rsidSect="00E644C2">
      <w:footerReference w:type="default" r:id="rId9"/>
      <w:pgSz w:w="11906" w:h="16838"/>
      <w:pgMar w:top="709"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FFC91" w14:textId="77777777" w:rsidR="00042972" w:rsidRDefault="00042972" w:rsidP="00296950">
      <w:r>
        <w:separator/>
      </w:r>
    </w:p>
  </w:endnote>
  <w:endnote w:type="continuationSeparator" w:id="0">
    <w:p w14:paraId="3DD1E184" w14:textId="77777777" w:rsidR="00042972" w:rsidRDefault="00042972" w:rsidP="00296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Helvetica">
    <w:panose1 w:val="020B0604020202020204"/>
    <w:charset w:val="BA"/>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4751660"/>
      <w:docPartObj>
        <w:docPartGallery w:val="Page Numbers (Bottom of Page)"/>
        <w:docPartUnique/>
      </w:docPartObj>
    </w:sdtPr>
    <w:sdtEndPr>
      <w:rPr>
        <w:noProof/>
        <w:sz w:val="20"/>
      </w:rPr>
    </w:sdtEndPr>
    <w:sdtContent>
      <w:p w14:paraId="3602107F" w14:textId="77777777" w:rsidR="00296950" w:rsidRPr="00296950" w:rsidRDefault="00296950">
        <w:pPr>
          <w:pStyle w:val="Footer"/>
          <w:jc w:val="center"/>
          <w:rPr>
            <w:sz w:val="20"/>
          </w:rPr>
        </w:pPr>
        <w:r w:rsidRPr="00296950">
          <w:rPr>
            <w:sz w:val="20"/>
          </w:rPr>
          <w:fldChar w:fldCharType="begin"/>
        </w:r>
        <w:r w:rsidRPr="00296950">
          <w:rPr>
            <w:sz w:val="20"/>
          </w:rPr>
          <w:instrText xml:space="preserve"> PAGE   \* MERGEFORMAT </w:instrText>
        </w:r>
        <w:r w:rsidRPr="00296950">
          <w:rPr>
            <w:sz w:val="20"/>
          </w:rPr>
          <w:fldChar w:fldCharType="separate"/>
        </w:r>
        <w:r w:rsidR="000626CE">
          <w:rPr>
            <w:noProof/>
            <w:sz w:val="20"/>
          </w:rPr>
          <w:t>6</w:t>
        </w:r>
        <w:r w:rsidRPr="00296950">
          <w:rPr>
            <w:noProof/>
            <w:sz w:val="20"/>
          </w:rPr>
          <w:fldChar w:fldCharType="end"/>
        </w:r>
      </w:p>
    </w:sdtContent>
  </w:sdt>
  <w:p w14:paraId="083FAFF5" w14:textId="77777777" w:rsidR="00296950" w:rsidRDefault="002969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85328" w14:textId="77777777" w:rsidR="00042972" w:rsidRDefault="00042972" w:rsidP="00296950">
      <w:r>
        <w:separator/>
      </w:r>
    </w:p>
  </w:footnote>
  <w:footnote w:type="continuationSeparator" w:id="0">
    <w:p w14:paraId="38D6E813" w14:textId="77777777" w:rsidR="00042972" w:rsidRDefault="00042972" w:rsidP="002969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0"/>
        </w:tabs>
        <w:ind w:left="0" w:firstLine="0"/>
      </w:pPr>
    </w:lvl>
    <w:lvl w:ilvl="1">
      <w:start w:val="8"/>
      <w:numFmt w:val="none"/>
      <w:lvlText w:val="."/>
      <w:lvlJc w:val="left"/>
      <w:pPr>
        <w:tabs>
          <w:tab w:val="num" w:pos="0"/>
        </w:tabs>
        <w:ind w:left="0" w:firstLine="0"/>
      </w:pPr>
    </w:lvl>
    <w:lvl w:ilvl="2">
      <w:start w:val="4"/>
      <w:numFmt w:val="decimal"/>
      <w:pStyle w:val="Heading3"/>
      <w:lvlText w:val="1.8.%3."/>
      <w:lvlJc w:val="left"/>
      <w:pPr>
        <w:tabs>
          <w:tab w:val="num" w:pos="0"/>
        </w:tabs>
        <w:ind w:left="0" w:firstLine="0"/>
      </w:pPr>
      <w:rPr>
        <w:rFonts w:ascii="Times New Roman" w:eastAsia="Times New Roman" w:hAnsi="Times New Roman" w:cs="Times New Roman"/>
      </w:r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6.%7.%8."/>
      <w:lvlJc w:val="left"/>
      <w:pPr>
        <w:tabs>
          <w:tab w:val="num" w:pos="0"/>
        </w:tabs>
        <w:ind w:left="0" w:firstLine="0"/>
      </w:pPr>
    </w:lvl>
    <w:lvl w:ilvl="8">
      <w:start w:val="1"/>
      <w:numFmt w:val="decimal"/>
      <w:lvlText w:val="%7.%8.%9..."/>
      <w:lvlJc w:val="left"/>
      <w:pPr>
        <w:tabs>
          <w:tab w:val="num" w:pos="0"/>
        </w:tabs>
        <w:ind w:left="0" w:firstLine="0"/>
      </w:pPr>
    </w:lvl>
  </w:abstractNum>
  <w:abstractNum w:abstractNumId="1" w15:restartNumberingAfterBreak="0">
    <w:nsid w:val="061E54BE"/>
    <w:multiLevelType w:val="multilevel"/>
    <w:tmpl w:val="A6A8FA96"/>
    <w:lvl w:ilvl="0">
      <w:start w:val="4"/>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23966F42"/>
    <w:multiLevelType w:val="multilevel"/>
    <w:tmpl w:val="5298258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32966B10"/>
    <w:multiLevelType w:val="multilevel"/>
    <w:tmpl w:val="CAA6E0BE"/>
    <w:lvl w:ilvl="0">
      <w:start w:val="5"/>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7A4A38FD"/>
    <w:multiLevelType w:val="hybridMultilevel"/>
    <w:tmpl w:val="F79244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520"/>
    <w:rsid w:val="00042972"/>
    <w:rsid w:val="000626CE"/>
    <w:rsid w:val="000D2625"/>
    <w:rsid w:val="00105B4F"/>
    <w:rsid w:val="00136141"/>
    <w:rsid w:val="002674A1"/>
    <w:rsid w:val="00272F54"/>
    <w:rsid w:val="00296950"/>
    <w:rsid w:val="002972B1"/>
    <w:rsid w:val="00440A1B"/>
    <w:rsid w:val="004A0308"/>
    <w:rsid w:val="005B7413"/>
    <w:rsid w:val="005C6C86"/>
    <w:rsid w:val="007747D9"/>
    <w:rsid w:val="00AC16C1"/>
    <w:rsid w:val="00E4385C"/>
    <w:rsid w:val="00E644C2"/>
    <w:rsid w:val="00F8552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A89F2"/>
  <w15:chartTrackingRefBased/>
  <w15:docId w15:val="{2243AED7-5C2A-4209-A8A5-3F75B8807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6C1"/>
    <w:pPr>
      <w:suppressAutoHyphens/>
      <w:spacing w:after="0" w:line="240" w:lineRule="auto"/>
    </w:pPr>
    <w:rPr>
      <w:rFonts w:ascii="Times New Roman" w:eastAsia="Times New Roman" w:hAnsi="Times New Roman" w:cs="Times New Roman"/>
      <w:sz w:val="24"/>
      <w:szCs w:val="20"/>
      <w:lang w:eastAsia="ar-SA"/>
    </w:rPr>
  </w:style>
  <w:style w:type="paragraph" w:styleId="Heading3">
    <w:name w:val="heading 3"/>
    <w:basedOn w:val="Normal"/>
    <w:next w:val="Normal"/>
    <w:link w:val="Heading3Char"/>
    <w:qFormat/>
    <w:rsid w:val="00AC16C1"/>
    <w:pPr>
      <w:keepNext/>
      <w:numPr>
        <w:ilvl w:val="2"/>
        <w:numId w:val="1"/>
      </w:numPr>
      <w:ind w:left="360"/>
      <w:jc w:val="right"/>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C16C1"/>
    <w:rPr>
      <w:rFonts w:ascii="Times New Roman" w:eastAsia="Times New Roman" w:hAnsi="Times New Roman" w:cs="Times New Roman"/>
      <w:b/>
      <w:szCs w:val="20"/>
      <w:lang w:eastAsia="ar-SA"/>
    </w:rPr>
  </w:style>
  <w:style w:type="paragraph" w:styleId="ListParagraph">
    <w:name w:val="List Paragraph"/>
    <w:basedOn w:val="Normal"/>
    <w:link w:val="ListParagraphChar"/>
    <w:uiPriority w:val="34"/>
    <w:qFormat/>
    <w:rsid w:val="00AC16C1"/>
    <w:pPr>
      <w:spacing w:line="100" w:lineRule="atLeast"/>
      <w:ind w:left="720"/>
    </w:pPr>
    <w:rPr>
      <w:noProof/>
      <w:kern w:val="1"/>
      <w:szCs w:val="24"/>
      <w:lang w:val="en-US" w:eastAsia="en-US" w:bidi="hi-IN"/>
    </w:rPr>
  </w:style>
  <w:style w:type="character" w:customStyle="1" w:styleId="ListParagraphChar">
    <w:name w:val="List Paragraph Char"/>
    <w:link w:val="ListParagraph"/>
    <w:uiPriority w:val="34"/>
    <w:rsid w:val="00AC16C1"/>
    <w:rPr>
      <w:rFonts w:ascii="Times New Roman" w:eastAsia="Times New Roman" w:hAnsi="Times New Roman" w:cs="Times New Roman"/>
      <w:noProof/>
      <w:kern w:val="1"/>
      <w:sz w:val="24"/>
      <w:szCs w:val="24"/>
      <w:lang w:val="en-US" w:bidi="hi-IN"/>
    </w:rPr>
  </w:style>
  <w:style w:type="paragraph" w:customStyle="1" w:styleId="Body">
    <w:name w:val="Body"/>
    <w:rsid w:val="00AC16C1"/>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lv-LV"/>
    </w:rPr>
  </w:style>
  <w:style w:type="paragraph" w:styleId="Header">
    <w:name w:val="header"/>
    <w:basedOn w:val="Normal"/>
    <w:link w:val="HeaderChar"/>
    <w:uiPriority w:val="99"/>
    <w:unhideWhenUsed/>
    <w:rsid w:val="00296950"/>
    <w:pPr>
      <w:tabs>
        <w:tab w:val="center" w:pos="4153"/>
        <w:tab w:val="right" w:pos="8306"/>
      </w:tabs>
    </w:pPr>
  </w:style>
  <w:style w:type="character" w:customStyle="1" w:styleId="HeaderChar">
    <w:name w:val="Header Char"/>
    <w:basedOn w:val="DefaultParagraphFont"/>
    <w:link w:val="Header"/>
    <w:uiPriority w:val="99"/>
    <w:rsid w:val="00296950"/>
    <w:rPr>
      <w:rFonts w:ascii="Times New Roman" w:eastAsia="Times New Roman" w:hAnsi="Times New Roman" w:cs="Times New Roman"/>
      <w:sz w:val="24"/>
      <w:szCs w:val="20"/>
      <w:lang w:eastAsia="ar-SA"/>
    </w:rPr>
  </w:style>
  <w:style w:type="paragraph" w:styleId="Footer">
    <w:name w:val="footer"/>
    <w:basedOn w:val="Normal"/>
    <w:link w:val="FooterChar"/>
    <w:uiPriority w:val="99"/>
    <w:unhideWhenUsed/>
    <w:rsid w:val="00296950"/>
    <w:pPr>
      <w:tabs>
        <w:tab w:val="center" w:pos="4153"/>
        <w:tab w:val="right" w:pos="8306"/>
      </w:tabs>
    </w:pPr>
  </w:style>
  <w:style w:type="character" w:customStyle="1" w:styleId="FooterChar">
    <w:name w:val="Footer Char"/>
    <w:basedOn w:val="DefaultParagraphFont"/>
    <w:link w:val="Footer"/>
    <w:uiPriority w:val="99"/>
    <w:rsid w:val="00296950"/>
    <w:rPr>
      <w:rFonts w:ascii="Times New Roman" w:eastAsia="Times New Roman" w:hAnsi="Times New Roman" w:cs="Times New Roman"/>
      <w:sz w:val="24"/>
      <w:szCs w:val="20"/>
      <w:lang w:eastAsia="ar-SA"/>
    </w:rPr>
  </w:style>
  <w:style w:type="paragraph" w:styleId="NoSpacing">
    <w:name w:val="No Spacing"/>
    <w:uiPriority w:val="1"/>
    <w:qFormat/>
    <w:rsid w:val="00296950"/>
    <w:pPr>
      <w:suppressAutoHyphens/>
      <w:spacing w:after="0" w:line="240" w:lineRule="auto"/>
    </w:pPr>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E644C2"/>
    <w:rPr>
      <w:sz w:val="16"/>
      <w:szCs w:val="16"/>
    </w:rPr>
  </w:style>
  <w:style w:type="paragraph" w:styleId="CommentText">
    <w:name w:val="annotation text"/>
    <w:basedOn w:val="Normal"/>
    <w:link w:val="CommentTextChar"/>
    <w:uiPriority w:val="99"/>
    <w:semiHidden/>
    <w:unhideWhenUsed/>
    <w:rsid w:val="00E644C2"/>
    <w:rPr>
      <w:sz w:val="20"/>
    </w:rPr>
  </w:style>
  <w:style w:type="character" w:customStyle="1" w:styleId="CommentTextChar">
    <w:name w:val="Comment Text Char"/>
    <w:basedOn w:val="DefaultParagraphFont"/>
    <w:link w:val="CommentText"/>
    <w:uiPriority w:val="99"/>
    <w:semiHidden/>
    <w:rsid w:val="00E644C2"/>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E644C2"/>
    <w:rPr>
      <w:b/>
      <w:bCs/>
    </w:rPr>
  </w:style>
  <w:style w:type="character" w:customStyle="1" w:styleId="CommentSubjectChar">
    <w:name w:val="Comment Subject Char"/>
    <w:basedOn w:val="CommentTextChar"/>
    <w:link w:val="CommentSubject"/>
    <w:uiPriority w:val="99"/>
    <w:semiHidden/>
    <w:rsid w:val="00E644C2"/>
    <w:rPr>
      <w:rFonts w:ascii="Times New Roman" w:eastAsia="Times New Roman" w:hAnsi="Times New Roman" w:cs="Times New Roman"/>
      <w:b/>
      <w:bCs/>
      <w:sz w:val="20"/>
      <w:szCs w:val="20"/>
      <w:lang w:eastAsia="ar-SA"/>
    </w:rPr>
  </w:style>
  <w:style w:type="paragraph" w:styleId="BalloonText">
    <w:name w:val="Balloon Text"/>
    <w:basedOn w:val="Normal"/>
    <w:link w:val="BalloonTextChar"/>
    <w:uiPriority w:val="99"/>
    <w:semiHidden/>
    <w:unhideWhenUsed/>
    <w:rsid w:val="00E644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4C2"/>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B51F0-3AE4-425B-BBFB-EBF96BDA4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11356</Words>
  <Characters>6473</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
    </vt:vector>
  </TitlesOfParts>
  <Company>VIAA</Company>
  <LinksUpToDate>false</LinksUpToDate>
  <CharactersWithSpaces>17794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Herberts Bucenieks</dc:creator>
  <cp:keywords/>
  <dc:description/>
  <cp:lastModifiedBy>Herberts Bucenieks</cp:lastModifiedBy>
  <cp:revision>3</cp:revision>
  <dcterms:created xsi:type="dcterms:W3CDTF">2018-02-14T09:53:00Z</dcterms:created>
  <dcterms:modified xsi:type="dcterms:W3CDTF">2018-02-14T09:54:00Z</dcterms:modified>
</cp:coreProperties>
</file>